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6" w:type="pct"/>
        <w:tblLayout w:type="fixed"/>
        <w:tblLook w:val="04A0"/>
      </w:tblPr>
      <w:tblGrid>
        <w:gridCol w:w="660"/>
        <w:gridCol w:w="881"/>
        <w:gridCol w:w="4398"/>
        <w:gridCol w:w="1430"/>
        <w:gridCol w:w="3947"/>
        <w:gridCol w:w="425"/>
        <w:gridCol w:w="501"/>
        <w:gridCol w:w="501"/>
        <w:gridCol w:w="786"/>
        <w:gridCol w:w="549"/>
      </w:tblGrid>
      <w:tr w:rsidR="00FE0EA8" w:rsidRPr="00F30F17" w:rsidTr="00164439">
        <w:trPr>
          <w:trHeight w:val="405"/>
        </w:trPr>
        <w:tc>
          <w:tcPr>
            <w:tcW w:w="5000" w:type="pct"/>
            <w:gridSpan w:val="10"/>
            <w:tcBorders>
              <w:top w:val="nil"/>
              <w:left w:val="nil"/>
              <w:bottom w:val="nil"/>
              <w:right w:val="nil"/>
            </w:tcBorders>
            <w:shd w:val="clear" w:color="auto" w:fill="auto"/>
            <w:noWrap/>
            <w:vAlign w:val="center"/>
          </w:tcPr>
          <w:p w:rsidR="00FE0EA8" w:rsidRPr="000667C8" w:rsidRDefault="00FE0EA8" w:rsidP="00164439">
            <w:pPr>
              <w:widowControl/>
              <w:jc w:val="left"/>
              <w:rPr>
                <w:rFonts w:ascii="宋体" w:hAnsi="宋体" w:cs="宋体"/>
                <w:bCs/>
                <w:color w:val="000000"/>
                <w:kern w:val="0"/>
                <w:sz w:val="32"/>
                <w:szCs w:val="32"/>
              </w:rPr>
            </w:pPr>
            <w:r w:rsidRPr="000667C8">
              <w:rPr>
                <w:rFonts w:ascii="宋体" w:hAnsi="宋体" w:cs="宋体" w:hint="eastAsia"/>
                <w:bCs/>
                <w:color w:val="000000"/>
                <w:kern w:val="0"/>
                <w:sz w:val="32"/>
                <w:szCs w:val="32"/>
              </w:rPr>
              <w:t>附件3：</w:t>
            </w:r>
          </w:p>
        </w:tc>
      </w:tr>
      <w:tr w:rsidR="00FE0EA8" w:rsidRPr="00F30F17" w:rsidTr="00164439">
        <w:trPr>
          <w:trHeight w:val="840"/>
        </w:trPr>
        <w:tc>
          <w:tcPr>
            <w:tcW w:w="5000" w:type="pct"/>
            <w:gridSpan w:val="10"/>
            <w:tcBorders>
              <w:top w:val="nil"/>
              <w:left w:val="nil"/>
              <w:bottom w:val="nil"/>
              <w:right w:val="nil"/>
            </w:tcBorders>
            <w:shd w:val="clear" w:color="auto" w:fill="auto"/>
            <w:noWrap/>
            <w:vAlign w:val="center"/>
          </w:tcPr>
          <w:p w:rsidR="00FE0EA8" w:rsidRPr="005B216C" w:rsidRDefault="00FE0EA8" w:rsidP="00164439">
            <w:pPr>
              <w:widowControl/>
              <w:jc w:val="center"/>
              <w:rPr>
                <w:rFonts w:ascii="宋体" w:hAnsi="宋体" w:cs="宋体"/>
                <w:bCs/>
                <w:color w:val="000000"/>
                <w:kern w:val="0"/>
                <w:sz w:val="28"/>
                <w:szCs w:val="28"/>
              </w:rPr>
            </w:pPr>
            <w:r w:rsidRPr="00414E1D">
              <w:rPr>
                <w:rFonts w:ascii="宋体" w:hAnsi="宋体" w:cs="宋体" w:hint="eastAsia"/>
                <w:b/>
                <w:bCs/>
                <w:color w:val="000000"/>
                <w:kern w:val="0"/>
                <w:sz w:val="40"/>
                <w:szCs w:val="40"/>
              </w:rPr>
              <w:t>药品批发企业物流服务能力</w:t>
            </w:r>
            <w:r>
              <w:rPr>
                <w:rFonts w:ascii="宋体" w:hAnsi="宋体" w:cs="宋体" w:hint="eastAsia"/>
                <w:b/>
                <w:bCs/>
                <w:color w:val="000000"/>
                <w:kern w:val="0"/>
                <w:sz w:val="40"/>
                <w:szCs w:val="40"/>
              </w:rPr>
              <w:t>评</w:t>
            </w:r>
            <w:r w:rsidRPr="00414E1D">
              <w:rPr>
                <w:rFonts w:ascii="宋体" w:hAnsi="宋体" w:cs="宋体" w:hint="eastAsia"/>
                <w:b/>
                <w:bCs/>
                <w:color w:val="000000"/>
                <w:kern w:val="0"/>
                <w:sz w:val="40"/>
                <w:szCs w:val="40"/>
              </w:rPr>
              <w:t>级基础指标评定标准</w:t>
            </w:r>
          </w:p>
        </w:tc>
      </w:tr>
      <w:tr w:rsidR="00FE0EA8" w:rsidRPr="00F30F17" w:rsidTr="00164439">
        <w:trPr>
          <w:trHeight w:val="285"/>
        </w:trPr>
        <w:tc>
          <w:tcPr>
            <w:tcW w:w="4019" w:type="pct"/>
            <w:gridSpan w:val="5"/>
            <w:tcBorders>
              <w:top w:val="single" w:sz="8" w:space="0" w:color="auto"/>
              <w:left w:val="single" w:sz="8"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评级指标</w:t>
            </w:r>
          </w:p>
        </w:tc>
        <w:tc>
          <w:tcPr>
            <w:tcW w:w="151" w:type="pct"/>
            <w:vMerge w:val="restart"/>
            <w:tcBorders>
              <w:top w:val="single" w:sz="8" w:space="0" w:color="auto"/>
              <w:left w:val="nil"/>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p w:rsidR="00FE0EA8" w:rsidRPr="00F30F17" w:rsidRDefault="00FE0EA8" w:rsidP="00164439">
            <w:pPr>
              <w:jc w:val="left"/>
              <w:rPr>
                <w:rFonts w:ascii="宋体" w:hAnsi="宋体" w:cs="宋体"/>
                <w:color w:val="000000"/>
                <w:kern w:val="0"/>
                <w:sz w:val="22"/>
                <w:szCs w:val="22"/>
              </w:rPr>
            </w:pPr>
            <w:r w:rsidRPr="00F30F17">
              <w:rPr>
                <w:rFonts w:ascii="宋体" w:hAnsi="宋体" w:cs="宋体" w:hint="eastAsia"/>
                <w:b/>
                <w:bCs/>
                <w:color w:val="000000"/>
                <w:kern w:val="0"/>
                <w:szCs w:val="21"/>
              </w:rPr>
              <w:t>是否达标</w:t>
            </w:r>
          </w:p>
        </w:tc>
        <w:tc>
          <w:tcPr>
            <w:tcW w:w="635" w:type="pct"/>
            <w:gridSpan w:val="3"/>
            <w:vMerge w:val="restart"/>
            <w:tcBorders>
              <w:top w:val="single" w:sz="8" w:space="0" w:color="auto"/>
              <w:left w:val="nil"/>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 xml:space="preserve">　</w:t>
            </w:r>
          </w:p>
          <w:p w:rsidR="00FE0EA8" w:rsidRPr="00F30F17" w:rsidRDefault="00FE0EA8" w:rsidP="00164439">
            <w:pPr>
              <w:jc w:val="center"/>
              <w:rPr>
                <w:rFonts w:ascii="宋体" w:hAnsi="宋体" w:cs="宋体"/>
                <w:b/>
                <w:bCs/>
                <w:color w:val="000000"/>
                <w:kern w:val="0"/>
                <w:szCs w:val="21"/>
              </w:rPr>
            </w:pPr>
            <w:r w:rsidRPr="00F30F17">
              <w:rPr>
                <w:rFonts w:ascii="宋体" w:hAnsi="宋体" w:cs="宋体" w:hint="eastAsia"/>
                <w:b/>
                <w:bCs/>
                <w:color w:val="000000"/>
                <w:kern w:val="0"/>
                <w:szCs w:val="21"/>
              </w:rPr>
              <w:t>适用等级</w:t>
            </w:r>
          </w:p>
        </w:tc>
        <w:tc>
          <w:tcPr>
            <w:tcW w:w="195"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备注</w:t>
            </w:r>
          </w:p>
        </w:tc>
      </w:tr>
      <w:tr w:rsidR="00FE0EA8" w:rsidRPr="00F30F17" w:rsidTr="00164439">
        <w:trPr>
          <w:trHeight w:val="510"/>
        </w:trPr>
        <w:tc>
          <w:tcPr>
            <w:tcW w:w="234" w:type="pct"/>
            <w:vMerge w:val="restart"/>
            <w:tcBorders>
              <w:top w:val="nil"/>
              <w:left w:val="single" w:sz="8"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大项</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对应</w:t>
            </w:r>
            <w:r>
              <w:rPr>
                <w:rFonts w:ascii="宋体" w:hAnsi="宋体" w:cs="宋体" w:hint="eastAsia"/>
                <w:b/>
                <w:bCs/>
                <w:color w:val="000000"/>
                <w:kern w:val="0"/>
                <w:szCs w:val="21"/>
              </w:rPr>
              <w:t>《分级</w:t>
            </w:r>
            <w:r w:rsidRPr="00F30F17">
              <w:rPr>
                <w:rFonts w:ascii="宋体" w:hAnsi="宋体" w:cs="宋体" w:hint="eastAsia"/>
                <w:b/>
                <w:bCs/>
                <w:color w:val="000000"/>
                <w:kern w:val="0"/>
                <w:szCs w:val="21"/>
              </w:rPr>
              <w:t>标准</w:t>
            </w:r>
            <w:r>
              <w:rPr>
                <w:rFonts w:ascii="宋体" w:hAnsi="宋体" w:cs="宋体" w:hint="eastAsia"/>
                <w:b/>
                <w:bCs/>
                <w:color w:val="000000"/>
                <w:kern w:val="0"/>
                <w:szCs w:val="21"/>
              </w:rPr>
              <w:t>》</w:t>
            </w:r>
            <w:r w:rsidRPr="00F30F17">
              <w:rPr>
                <w:rFonts w:ascii="宋体" w:hAnsi="宋体" w:cs="宋体" w:hint="eastAsia"/>
                <w:b/>
                <w:bCs/>
                <w:color w:val="000000"/>
                <w:kern w:val="0"/>
                <w:szCs w:val="21"/>
              </w:rPr>
              <w:t>序号</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基础指标</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检查内容与方式</w:t>
            </w:r>
          </w:p>
        </w:tc>
        <w:tc>
          <w:tcPr>
            <w:tcW w:w="140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评定标准</w:t>
            </w:r>
          </w:p>
        </w:tc>
        <w:tc>
          <w:tcPr>
            <w:tcW w:w="151" w:type="pct"/>
            <w:vMerge/>
            <w:tcBorders>
              <w:left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p>
        </w:tc>
        <w:tc>
          <w:tcPr>
            <w:tcW w:w="635" w:type="pct"/>
            <w:gridSpan w:val="3"/>
            <w:vMerge/>
            <w:tcBorders>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p>
        </w:tc>
        <w:tc>
          <w:tcPr>
            <w:tcW w:w="195" w:type="pct"/>
            <w:vMerge/>
            <w:tcBorders>
              <w:top w:val="single" w:sz="8" w:space="0" w:color="auto"/>
              <w:left w:val="single" w:sz="4" w:space="0" w:color="auto"/>
              <w:bottom w:val="single" w:sz="4" w:space="0" w:color="auto"/>
              <w:right w:val="single" w:sz="8" w:space="0" w:color="auto"/>
            </w:tcBorders>
            <w:vAlign w:val="center"/>
          </w:tcPr>
          <w:p w:rsidR="00FE0EA8" w:rsidRPr="00F30F17" w:rsidRDefault="00FE0EA8" w:rsidP="00164439">
            <w:pPr>
              <w:widowControl/>
              <w:jc w:val="left"/>
              <w:rPr>
                <w:rFonts w:ascii="宋体" w:hAnsi="宋体" w:cs="宋体"/>
                <w:b/>
                <w:bCs/>
                <w:color w:val="000000"/>
                <w:kern w:val="0"/>
                <w:szCs w:val="21"/>
              </w:rPr>
            </w:pPr>
          </w:p>
        </w:tc>
      </w:tr>
      <w:tr w:rsidR="00FE0EA8" w:rsidRPr="00F30F17" w:rsidTr="00164439">
        <w:trPr>
          <w:trHeight w:val="312"/>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40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51" w:type="pct"/>
            <w:vMerge/>
            <w:tcBorders>
              <w:left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7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A</w:t>
            </w:r>
          </w:p>
        </w:tc>
        <w:tc>
          <w:tcPr>
            <w:tcW w:w="17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AA</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AAA</w:t>
            </w:r>
          </w:p>
        </w:tc>
        <w:tc>
          <w:tcPr>
            <w:tcW w:w="195" w:type="pct"/>
            <w:vMerge/>
            <w:tcBorders>
              <w:top w:val="single" w:sz="8" w:space="0" w:color="auto"/>
              <w:left w:val="single" w:sz="4" w:space="0" w:color="auto"/>
              <w:bottom w:val="single" w:sz="4" w:space="0" w:color="auto"/>
              <w:right w:val="single" w:sz="8" w:space="0" w:color="auto"/>
            </w:tcBorders>
            <w:vAlign w:val="center"/>
          </w:tcPr>
          <w:p w:rsidR="00FE0EA8" w:rsidRPr="00F30F17" w:rsidRDefault="00FE0EA8" w:rsidP="00164439">
            <w:pPr>
              <w:widowControl/>
              <w:jc w:val="left"/>
              <w:rPr>
                <w:rFonts w:ascii="宋体" w:hAnsi="宋体" w:cs="宋体"/>
                <w:b/>
                <w:bCs/>
                <w:color w:val="000000"/>
                <w:kern w:val="0"/>
                <w:szCs w:val="21"/>
              </w:rPr>
            </w:pPr>
          </w:p>
        </w:tc>
      </w:tr>
      <w:tr w:rsidR="00FE0EA8" w:rsidRPr="00F30F17" w:rsidTr="00164439">
        <w:trPr>
          <w:trHeight w:val="312"/>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40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51" w:type="pct"/>
            <w:vMerge/>
            <w:tcBorders>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7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7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279"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195" w:type="pct"/>
            <w:vMerge/>
            <w:tcBorders>
              <w:top w:val="single" w:sz="8" w:space="0" w:color="auto"/>
              <w:left w:val="single" w:sz="4" w:space="0" w:color="auto"/>
              <w:bottom w:val="single" w:sz="4" w:space="0" w:color="auto"/>
              <w:right w:val="single" w:sz="8" w:space="0" w:color="auto"/>
            </w:tcBorders>
            <w:vAlign w:val="center"/>
          </w:tcPr>
          <w:p w:rsidR="00FE0EA8" w:rsidRPr="00F30F17" w:rsidRDefault="00FE0EA8" w:rsidP="00164439">
            <w:pPr>
              <w:widowControl/>
              <w:jc w:val="left"/>
              <w:rPr>
                <w:rFonts w:ascii="宋体" w:hAnsi="宋体" w:cs="宋体"/>
                <w:b/>
                <w:bCs/>
                <w:color w:val="000000"/>
                <w:kern w:val="0"/>
                <w:szCs w:val="21"/>
              </w:rPr>
            </w:pPr>
          </w:p>
        </w:tc>
      </w:tr>
      <w:tr w:rsidR="00FE0EA8" w:rsidRPr="00F30F17" w:rsidTr="00164439">
        <w:trPr>
          <w:trHeight w:val="765"/>
        </w:trPr>
        <w:tc>
          <w:tcPr>
            <w:tcW w:w="234" w:type="pct"/>
            <w:vMerge w:val="restart"/>
            <w:tcBorders>
              <w:top w:val="nil"/>
              <w:left w:val="single" w:sz="8"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基本要求</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1.1</w:t>
            </w:r>
          </w:p>
        </w:tc>
        <w:tc>
          <w:tcPr>
            <w:tcW w:w="1562" w:type="pc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依法取得《药品经营许可证》、《药品经营质量管理规范认证证书》、《企业法人营业执照》从事药品经营活动的药品批发企业</w:t>
            </w:r>
          </w:p>
        </w:tc>
        <w:tc>
          <w:tcPr>
            <w:tcW w:w="508" w:type="pc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审核文件</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具有两证一照：《药品经营许可证》、《药品经营质量管理规范认证证书》、《企业法人营业执照》</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是/否</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single" w:sz="4" w:space="0" w:color="auto"/>
              <w:bottom w:val="single" w:sz="4" w:space="0" w:color="auto"/>
              <w:right w:val="single" w:sz="8" w:space="0" w:color="auto"/>
            </w:tcBorders>
            <w:shd w:val="clear" w:color="auto" w:fill="auto"/>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1.2</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具有符合《药品经营质量管理规范》要求，与所经营药品相适应的质量管理机构、物流管理机构、药品质量规章制度、专业技术人员、营业场所、设备、仓储设施、卫生环境，按照《药品经营许可证》核准的内容，为企业提供优质物流服务</w:t>
            </w: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文件和现场审核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1、具有与经营规模相适应的营业场所、卫生环境、物流设施设备</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2、公司组织架构图</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3、建立有效的质量管理机构、有质量组织机构图和岗位说明书，具有独立行使质量管理职能的权限</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4、各部门职责、岗位说明书</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76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5、药学专业技术人员和物流管理人员资质和人员数量符合相关法律法规要求</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6、文件的编制、修订、审批、发放、培训、实施符合规定</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7、依据法律法规和企业要求建立质量管理文件体系</w:t>
            </w:r>
            <w:r>
              <w:rPr>
                <w:rFonts w:ascii="宋体" w:hAnsi="宋体" w:cs="宋体" w:hint="eastAsia"/>
                <w:color w:val="000000"/>
                <w:kern w:val="0"/>
                <w:szCs w:val="21"/>
              </w:rPr>
              <w:t>，文件体系应涵盖业务工作全</w:t>
            </w:r>
            <w:r>
              <w:rPr>
                <w:rFonts w:ascii="宋体" w:hAnsi="宋体" w:cs="宋体" w:hint="eastAsia"/>
                <w:color w:val="000000"/>
                <w:kern w:val="0"/>
                <w:szCs w:val="21"/>
              </w:rPr>
              <w:lastRenderedPageBreak/>
              <w:t>过程</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lastRenderedPageBreak/>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8、按照质量管理文件规定作业</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val="restart"/>
            <w:tcBorders>
              <w:top w:val="nil"/>
              <w:left w:val="single" w:sz="8"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物流配送规模</w:t>
            </w:r>
          </w:p>
        </w:tc>
        <w:tc>
          <w:tcPr>
            <w:tcW w:w="313" w:type="pct"/>
            <w:vMerge w:val="restart"/>
            <w:tcBorders>
              <w:top w:val="single" w:sz="4" w:space="0" w:color="auto"/>
              <w:left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2.1</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F30F17">
                <w:rPr>
                  <w:rFonts w:ascii="宋体" w:hAnsi="宋体" w:cs="宋体" w:hint="eastAsia"/>
                  <w:b/>
                  <w:bCs/>
                  <w:color w:val="000000"/>
                  <w:kern w:val="0"/>
                  <w:szCs w:val="21"/>
                </w:rPr>
                <w:t>2.1.1</w:t>
              </w:r>
            </w:smartTag>
            <w:r w:rsidRPr="00F30F17">
              <w:rPr>
                <w:rFonts w:ascii="宋体" w:hAnsi="宋体" w:cs="宋体" w:hint="eastAsia"/>
                <w:b/>
                <w:bCs/>
                <w:color w:val="000000"/>
                <w:kern w:val="0"/>
                <w:szCs w:val="21"/>
              </w:rPr>
              <w:t xml:space="preserve"> 年</w:t>
            </w:r>
            <w:proofErr w:type="gramStart"/>
            <w:r w:rsidRPr="00F30F17">
              <w:rPr>
                <w:rFonts w:ascii="宋体" w:hAnsi="宋体" w:cs="宋体" w:hint="eastAsia"/>
                <w:b/>
                <w:bCs/>
                <w:color w:val="000000"/>
                <w:kern w:val="0"/>
                <w:szCs w:val="21"/>
              </w:rPr>
              <w:t>配送总</w:t>
            </w:r>
            <w:proofErr w:type="gramEnd"/>
            <w:r w:rsidRPr="00F30F17">
              <w:rPr>
                <w:rFonts w:ascii="宋体" w:hAnsi="宋体" w:cs="宋体" w:hint="eastAsia"/>
                <w:b/>
                <w:bCs/>
                <w:color w:val="000000"/>
                <w:kern w:val="0"/>
                <w:szCs w:val="21"/>
              </w:rPr>
              <w:t>货值2～10亿元(含2亿元)(</w:t>
            </w:r>
            <w:r>
              <w:rPr>
                <w:rFonts w:ascii="宋体" w:hAnsi="宋体" w:cs="宋体" w:hint="eastAsia"/>
                <w:b/>
                <w:bCs/>
                <w:color w:val="000000"/>
                <w:kern w:val="0"/>
                <w:szCs w:val="21"/>
              </w:rPr>
              <w:t>省辖市、地级市</w:t>
            </w:r>
            <w:r w:rsidRPr="00F30F17">
              <w:rPr>
                <w:rFonts w:ascii="宋体" w:hAnsi="宋体" w:cs="宋体" w:hint="eastAsia"/>
                <w:b/>
                <w:bCs/>
                <w:color w:val="000000"/>
                <w:kern w:val="0"/>
                <w:szCs w:val="21"/>
              </w:rPr>
              <w:t>药</w:t>
            </w:r>
            <w:r>
              <w:rPr>
                <w:rFonts w:ascii="宋体" w:hAnsi="宋体" w:cs="宋体" w:hint="eastAsia"/>
                <w:b/>
                <w:bCs/>
                <w:color w:val="000000"/>
                <w:kern w:val="0"/>
                <w:szCs w:val="21"/>
              </w:rPr>
              <w:t>品批发</w:t>
            </w:r>
            <w:r w:rsidRPr="00F30F17">
              <w:rPr>
                <w:rFonts w:ascii="宋体" w:hAnsi="宋体" w:cs="宋体" w:hint="eastAsia"/>
                <w:b/>
                <w:bCs/>
                <w:color w:val="000000"/>
                <w:kern w:val="0"/>
                <w:szCs w:val="21"/>
              </w:rPr>
              <w:t>企业)；年</w:t>
            </w:r>
            <w:proofErr w:type="gramStart"/>
            <w:r w:rsidRPr="00F30F17">
              <w:rPr>
                <w:rFonts w:ascii="宋体" w:hAnsi="宋体" w:cs="宋体" w:hint="eastAsia"/>
                <w:b/>
                <w:bCs/>
                <w:color w:val="000000"/>
                <w:kern w:val="0"/>
                <w:szCs w:val="21"/>
              </w:rPr>
              <w:t>配送总</w:t>
            </w:r>
            <w:proofErr w:type="gramEnd"/>
            <w:r w:rsidRPr="00F30F17">
              <w:rPr>
                <w:rFonts w:ascii="宋体" w:hAnsi="宋体" w:cs="宋体" w:hint="eastAsia"/>
                <w:b/>
                <w:bCs/>
                <w:color w:val="000000"/>
                <w:kern w:val="0"/>
                <w:szCs w:val="21"/>
              </w:rPr>
              <w:t>货值5000万元以上(</w:t>
            </w:r>
            <w:r>
              <w:rPr>
                <w:rFonts w:ascii="宋体" w:hAnsi="宋体" w:cs="宋体" w:hint="eastAsia"/>
                <w:b/>
                <w:bCs/>
                <w:color w:val="000000"/>
                <w:kern w:val="0"/>
                <w:szCs w:val="21"/>
              </w:rPr>
              <w:t>县及县级以下</w:t>
            </w:r>
            <w:r w:rsidRPr="00F30F17">
              <w:rPr>
                <w:rFonts w:ascii="宋体" w:hAnsi="宋体" w:cs="宋体" w:hint="eastAsia"/>
                <w:b/>
                <w:bCs/>
                <w:color w:val="000000"/>
                <w:kern w:val="0"/>
                <w:szCs w:val="21"/>
              </w:rPr>
              <w:t>药</w:t>
            </w:r>
            <w:r>
              <w:rPr>
                <w:rFonts w:ascii="宋体" w:hAnsi="宋体" w:cs="宋体" w:hint="eastAsia"/>
                <w:b/>
                <w:bCs/>
                <w:color w:val="000000"/>
                <w:kern w:val="0"/>
                <w:szCs w:val="21"/>
              </w:rPr>
              <w:t>品批发</w:t>
            </w:r>
            <w:r w:rsidRPr="00F30F17">
              <w:rPr>
                <w:rFonts w:ascii="宋体" w:hAnsi="宋体" w:cs="宋体" w:hint="eastAsia"/>
                <w:b/>
                <w:bCs/>
                <w:color w:val="000000"/>
                <w:kern w:val="0"/>
                <w:szCs w:val="21"/>
              </w:rPr>
              <w:t>企业)</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财务经营报表审核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1</w:t>
            </w:r>
            <w:r>
              <w:rPr>
                <w:rFonts w:ascii="宋体" w:hAnsi="宋体" w:cs="宋体" w:hint="eastAsia"/>
                <w:color w:val="000000"/>
                <w:kern w:val="0"/>
                <w:szCs w:val="21"/>
              </w:rPr>
              <w:t>、省辖市、地级市医药商业企业：年</w:t>
            </w:r>
            <w:proofErr w:type="gramStart"/>
            <w:r>
              <w:rPr>
                <w:rFonts w:ascii="宋体" w:hAnsi="宋体" w:cs="宋体" w:hint="eastAsia"/>
                <w:color w:val="000000"/>
                <w:kern w:val="0"/>
                <w:szCs w:val="21"/>
              </w:rPr>
              <w:t>配送总</w:t>
            </w:r>
            <w:proofErr w:type="gramEnd"/>
            <w:r>
              <w:rPr>
                <w:rFonts w:ascii="宋体" w:hAnsi="宋体" w:cs="宋体" w:hint="eastAsia"/>
                <w:color w:val="000000"/>
                <w:kern w:val="0"/>
                <w:szCs w:val="21"/>
              </w:rPr>
              <w:t>货值</w:t>
            </w:r>
            <w:r w:rsidRPr="00F30F17">
              <w:rPr>
                <w:rFonts w:ascii="宋体" w:hAnsi="宋体" w:cs="宋体" w:hint="eastAsia"/>
                <w:color w:val="000000"/>
                <w:kern w:val="0"/>
                <w:szCs w:val="21"/>
              </w:rPr>
              <w:t>2～10亿元(含2亿元)</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w:t>
            </w:r>
            <w:r w:rsidRPr="00F30F17">
              <w:rPr>
                <w:rFonts w:ascii="宋体" w:hAnsi="宋体" w:cs="宋体" w:hint="eastAsia"/>
                <w:color w:val="000000"/>
                <w:kern w:val="0"/>
                <w:szCs w:val="21"/>
              </w:rPr>
              <w:t xml:space="preserve">　</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w:t>
            </w:r>
            <w:r w:rsidRPr="00F30F17">
              <w:rPr>
                <w:rFonts w:ascii="宋体" w:hAnsi="宋体" w:cs="宋体" w:hint="eastAsia"/>
                <w:color w:val="000000"/>
                <w:kern w:val="0"/>
                <w:szCs w:val="21"/>
              </w:rPr>
              <w:t xml:space="preserve">　</w:t>
            </w:r>
          </w:p>
        </w:tc>
        <w:tc>
          <w:tcPr>
            <w:tcW w:w="195" w:type="pct"/>
            <w:tcBorders>
              <w:top w:val="nil"/>
              <w:left w:val="nil"/>
              <w:bottom w:val="single" w:sz="4" w:space="0" w:color="auto"/>
              <w:right w:val="single" w:sz="8" w:space="0" w:color="auto"/>
            </w:tcBorders>
            <w:shd w:val="clear" w:color="auto" w:fill="auto"/>
            <w:noWrap/>
            <w:vAlign w:val="center"/>
          </w:tcPr>
          <w:p w:rsidR="00FE0EA8" w:rsidRPr="006B203F" w:rsidRDefault="00FE0EA8" w:rsidP="00164439">
            <w:pPr>
              <w:widowControl/>
              <w:jc w:val="left"/>
              <w:rPr>
                <w:rFonts w:ascii="宋体" w:hAnsi="宋体" w:cs="宋体"/>
                <w:color w:val="000000"/>
                <w:kern w:val="0"/>
                <w:sz w:val="12"/>
                <w:szCs w:val="12"/>
              </w:rPr>
            </w:pPr>
            <w:r w:rsidRPr="006B203F">
              <w:rPr>
                <w:rFonts w:ascii="宋体" w:hAnsi="宋体" w:cs="宋体" w:hint="eastAsia"/>
                <w:color w:val="000000"/>
                <w:kern w:val="0"/>
                <w:sz w:val="12"/>
                <w:szCs w:val="12"/>
              </w:rPr>
              <w:t>可适当考虑配送件数</w:t>
            </w:r>
          </w:p>
        </w:tc>
      </w:tr>
      <w:tr w:rsidR="00FE0EA8" w:rsidRPr="00F30F17" w:rsidTr="00164439">
        <w:trPr>
          <w:trHeight w:val="61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w:t>
            </w:r>
            <w:r>
              <w:rPr>
                <w:rFonts w:ascii="宋体" w:hAnsi="宋体" w:cs="宋体" w:hint="eastAsia"/>
                <w:color w:val="000000"/>
                <w:kern w:val="0"/>
                <w:szCs w:val="21"/>
              </w:rPr>
              <w:t>、县级以下医药商业企业：年</w:t>
            </w:r>
            <w:proofErr w:type="gramStart"/>
            <w:r>
              <w:rPr>
                <w:rFonts w:ascii="宋体" w:hAnsi="宋体" w:cs="宋体" w:hint="eastAsia"/>
                <w:color w:val="000000"/>
                <w:kern w:val="0"/>
                <w:szCs w:val="21"/>
              </w:rPr>
              <w:t>配送总</w:t>
            </w:r>
            <w:proofErr w:type="gramEnd"/>
            <w:r>
              <w:rPr>
                <w:rFonts w:ascii="宋体" w:hAnsi="宋体" w:cs="宋体" w:hint="eastAsia"/>
                <w:color w:val="000000"/>
                <w:kern w:val="0"/>
                <w:szCs w:val="21"/>
              </w:rPr>
              <w:t>货值</w:t>
            </w:r>
            <w:r w:rsidRPr="00F30F17">
              <w:rPr>
                <w:rFonts w:ascii="宋体" w:hAnsi="宋体" w:cs="宋体" w:hint="eastAsia"/>
                <w:color w:val="000000"/>
                <w:kern w:val="0"/>
                <w:szCs w:val="21"/>
              </w:rPr>
              <w:t>5000万元以上</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7D7DFA" w:rsidRDefault="00FE0EA8" w:rsidP="00164439">
            <w:pPr>
              <w:widowControl/>
              <w:jc w:val="left"/>
              <w:rPr>
                <w:rFonts w:ascii="宋体" w:hAnsi="宋体" w:cs="宋体"/>
                <w:color w:val="000000"/>
                <w:kern w:val="0"/>
                <w:sz w:val="12"/>
                <w:szCs w:val="12"/>
              </w:rPr>
            </w:pPr>
            <w:r w:rsidRPr="007D7DFA">
              <w:rPr>
                <w:rFonts w:ascii="宋体" w:hAnsi="宋体" w:cs="宋体" w:hint="eastAsia"/>
                <w:color w:val="000000"/>
                <w:kern w:val="0"/>
                <w:sz w:val="12"/>
                <w:szCs w:val="12"/>
              </w:rPr>
              <w:t>可适当考虑配送件数</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2.1</w:t>
            </w:r>
          </w:p>
        </w:tc>
        <w:tc>
          <w:tcPr>
            <w:tcW w:w="156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F30F17">
                <w:rPr>
                  <w:rFonts w:ascii="宋体" w:hAnsi="宋体" w:cs="宋体" w:hint="eastAsia"/>
                  <w:b/>
                  <w:bCs/>
                  <w:color w:val="000000"/>
                  <w:kern w:val="0"/>
                  <w:szCs w:val="21"/>
                </w:rPr>
                <w:t>2.1.2</w:t>
              </w:r>
            </w:smartTag>
            <w:r w:rsidRPr="00F30F17">
              <w:rPr>
                <w:rFonts w:ascii="宋体" w:hAnsi="宋体" w:cs="宋体" w:hint="eastAsia"/>
                <w:b/>
                <w:bCs/>
                <w:color w:val="000000"/>
                <w:kern w:val="0"/>
                <w:szCs w:val="21"/>
              </w:rPr>
              <w:t xml:space="preserve"> 年</w:t>
            </w:r>
            <w:proofErr w:type="gramStart"/>
            <w:r w:rsidRPr="00F30F17">
              <w:rPr>
                <w:rFonts w:ascii="宋体" w:hAnsi="宋体" w:cs="宋体" w:hint="eastAsia"/>
                <w:b/>
                <w:bCs/>
                <w:color w:val="000000"/>
                <w:kern w:val="0"/>
                <w:szCs w:val="21"/>
              </w:rPr>
              <w:t>配送总</w:t>
            </w:r>
            <w:proofErr w:type="gramEnd"/>
            <w:r w:rsidRPr="00F30F17">
              <w:rPr>
                <w:rFonts w:ascii="宋体" w:hAnsi="宋体" w:cs="宋体" w:hint="eastAsia"/>
                <w:b/>
                <w:bCs/>
                <w:color w:val="000000"/>
                <w:kern w:val="0"/>
                <w:szCs w:val="21"/>
              </w:rPr>
              <w:t>货值10～</w:t>
            </w:r>
            <w:r>
              <w:rPr>
                <w:rFonts w:ascii="宋体" w:hAnsi="宋体" w:cs="宋体" w:hint="eastAsia"/>
                <w:b/>
                <w:bCs/>
                <w:color w:val="000000"/>
                <w:kern w:val="0"/>
                <w:szCs w:val="21"/>
              </w:rPr>
              <w:t>3</w:t>
            </w:r>
            <w:r w:rsidRPr="00F30F17">
              <w:rPr>
                <w:rFonts w:ascii="宋体" w:hAnsi="宋体" w:cs="宋体" w:hint="eastAsia"/>
                <w:b/>
                <w:bCs/>
                <w:color w:val="000000"/>
                <w:kern w:val="0"/>
                <w:szCs w:val="21"/>
              </w:rPr>
              <w:t>0亿元（含10亿元）</w:t>
            </w: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财务经营报表审核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年度</w:t>
            </w:r>
            <w:proofErr w:type="gramStart"/>
            <w:r w:rsidRPr="00F30F17">
              <w:rPr>
                <w:rFonts w:ascii="宋体" w:hAnsi="宋体" w:cs="宋体" w:hint="eastAsia"/>
                <w:color w:val="000000"/>
                <w:kern w:val="0"/>
                <w:szCs w:val="21"/>
              </w:rPr>
              <w:t>配送总</w:t>
            </w:r>
            <w:proofErr w:type="gramEnd"/>
            <w:r w:rsidRPr="00F30F17">
              <w:rPr>
                <w:rFonts w:ascii="宋体" w:hAnsi="宋体" w:cs="宋体" w:hint="eastAsia"/>
                <w:color w:val="000000"/>
                <w:kern w:val="0"/>
                <w:szCs w:val="21"/>
              </w:rPr>
              <w:t>货值：10</w:t>
            </w:r>
            <w:r>
              <w:rPr>
                <w:rFonts w:ascii="宋体" w:hAnsi="宋体" w:cs="宋体" w:hint="eastAsia"/>
                <w:color w:val="000000"/>
                <w:kern w:val="0"/>
                <w:szCs w:val="21"/>
              </w:rPr>
              <w:t>-30</w:t>
            </w:r>
            <w:r w:rsidRPr="00F30F17">
              <w:rPr>
                <w:rFonts w:ascii="宋体" w:hAnsi="宋体" w:cs="宋体" w:hint="eastAsia"/>
                <w:color w:val="000000"/>
                <w:kern w:val="0"/>
                <w:szCs w:val="21"/>
              </w:rPr>
              <w:t>亿元（含10亿元）</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7D7DFA">
              <w:rPr>
                <w:rFonts w:ascii="宋体" w:hAnsi="宋体" w:cs="宋体" w:hint="eastAsia"/>
                <w:color w:val="000000"/>
                <w:kern w:val="0"/>
                <w:sz w:val="12"/>
                <w:szCs w:val="12"/>
              </w:rPr>
              <w:t>可适当考虑配送件数</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2.1</w:t>
            </w:r>
          </w:p>
        </w:tc>
        <w:tc>
          <w:tcPr>
            <w:tcW w:w="156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F30F17">
                <w:rPr>
                  <w:rFonts w:ascii="宋体" w:hAnsi="宋体" w:cs="宋体" w:hint="eastAsia"/>
                  <w:b/>
                  <w:bCs/>
                  <w:color w:val="000000"/>
                  <w:kern w:val="0"/>
                  <w:szCs w:val="21"/>
                </w:rPr>
                <w:t>2.1.3</w:t>
              </w:r>
            </w:smartTag>
            <w:r w:rsidRPr="00F30F17">
              <w:rPr>
                <w:rFonts w:ascii="宋体" w:hAnsi="宋体" w:cs="宋体" w:hint="eastAsia"/>
                <w:b/>
                <w:bCs/>
                <w:color w:val="000000"/>
                <w:kern w:val="0"/>
                <w:szCs w:val="21"/>
              </w:rPr>
              <w:t xml:space="preserve"> 年</w:t>
            </w:r>
            <w:proofErr w:type="gramStart"/>
            <w:r w:rsidRPr="00F30F17">
              <w:rPr>
                <w:rFonts w:ascii="宋体" w:hAnsi="宋体" w:cs="宋体" w:hint="eastAsia"/>
                <w:b/>
                <w:bCs/>
                <w:color w:val="000000"/>
                <w:kern w:val="0"/>
                <w:szCs w:val="21"/>
              </w:rPr>
              <w:t>配送总</w:t>
            </w:r>
            <w:proofErr w:type="gramEnd"/>
            <w:r w:rsidRPr="00F30F17">
              <w:rPr>
                <w:rFonts w:ascii="宋体" w:hAnsi="宋体" w:cs="宋体" w:hint="eastAsia"/>
                <w:b/>
                <w:bCs/>
                <w:color w:val="000000"/>
                <w:kern w:val="0"/>
                <w:szCs w:val="21"/>
              </w:rPr>
              <w:t>货值</w:t>
            </w:r>
            <w:r>
              <w:rPr>
                <w:rFonts w:ascii="宋体" w:hAnsi="宋体" w:cs="宋体" w:hint="eastAsia"/>
                <w:b/>
                <w:bCs/>
                <w:color w:val="000000"/>
                <w:kern w:val="0"/>
                <w:szCs w:val="21"/>
              </w:rPr>
              <w:t>3</w:t>
            </w:r>
            <w:r w:rsidRPr="00F30F17">
              <w:rPr>
                <w:rFonts w:ascii="宋体" w:hAnsi="宋体" w:cs="宋体" w:hint="eastAsia"/>
                <w:b/>
                <w:bCs/>
                <w:color w:val="000000"/>
                <w:kern w:val="0"/>
                <w:szCs w:val="21"/>
              </w:rPr>
              <w:t>0亿元以上（含</w:t>
            </w:r>
            <w:r>
              <w:rPr>
                <w:rFonts w:ascii="宋体" w:hAnsi="宋体" w:cs="宋体" w:hint="eastAsia"/>
                <w:b/>
                <w:bCs/>
                <w:color w:val="000000"/>
                <w:kern w:val="0"/>
                <w:szCs w:val="21"/>
              </w:rPr>
              <w:t>3</w:t>
            </w:r>
            <w:r w:rsidRPr="00F30F17">
              <w:rPr>
                <w:rFonts w:ascii="宋体" w:hAnsi="宋体" w:cs="宋体" w:hint="eastAsia"/>
                <w:b/>
                <w:bCs/>
                <w:color w:val="000000"/>
                <w:kern w:val="0"/>
                <w:szCs w:val="21"/>
              </w:rPr>
              <w:t>0亿元）</w:t>
            </w: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财务经营报表审核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年</w:t>
            </w:r>
            <w:proofErr w:type="gramStart"/>
            <w:r w:rsidRPr="00F30F17">
              <w:rPr>
                <w:rFonts w:ascii="宋体" w:hAnsi="宋体" w:cs="宋体" w:hint="eastAsia"/>
                <w:color w:val="000000"/>
                <w:kern w:val="0"/>
                <w:szCs w:val="21"/>
              </w:rPr>
              <w:t>配送总</w:t>
            </w:r>
            <w:proofErr w:type="gramEnd"/>
            <w:r w:rsidRPr="00F30F17">
              <w:rPr>
                <w:rFonts w:ascii="宋体" w:hAnsi="宋体" w:cs="宋体" w:hint="eastAsia"/>
                <w:color w:val="000000"/>
                <w:kern w:val="0"/>
                <w:szCs w:val="21"/>
              </w:rPr>
              <w:t>货值：</w:t>
            </w:r>
            <w:r>
              <w:rPr>
                <w:rFonts w:ascii="宋体" w:hAnsi="宋体" w:cs="宋体" w:hint="eastAsia"/>
                <w:color w:val="000000"/>
                <w:kern w:val="0"/>
                <w:szCs w:val="21"/>
              </w:rPr>
              <w:t>3</w:t>
            </w:r>
            <w:r w:rsidRPr="00F30F17">
              <w:rPr>
                <w:rFonts w:ascii="宋体" w:hAnsi="宋体" w:cs="宋体" w:hint="eastAsia"/>
                <w:color w:val="000000"/>
                <w:kern w:val="0"/>
                <w:szCs w:val="21"/>
              </w:rPr>
              <w:t>0亿元以上（含</w:t>
            </w:r>
            <w:r>
              <w:rPr>
                <w:rFonts w:ascii="宋体" w:hAnsi="宋体" w:cs="宋体" w:hint="eastAsia"/>
                <w:color w:val="000000"/>
                <w:kern w:val="0"/>
                <w:szCs w:val="21"/>
              </w:rPr>
              <w:t>3</w:t>
            </w:r>
            <w:r w:rsidRPr="00F30F17">
              <w:rPr>
                <w:rFonts w:ascii="宋体" w:hAnsi="宋体" w:cs="宋体" w:hint="eastAsia"/>
                <w:color w:val="000000"/>
                <w:kern w:val="0"/>
                <w:szCs w:val="21"/>
              </w:rPr>
              <w:t>0亿元）</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7D7DFA">
              <w:rPr>
                <w:rFonts w:ascii="宋体" w:hAnsi="宋体" w:cs="宋体" w:hint="eastAsia"/>
                <w:color w:val="000000"/>
                <w:kern w:val="0"/>
                <w:sz w:val="12"/>
                <w:szCs w:val="12"/>
              </w:rPr>
              <w:t>可适当考虑配送件数</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tcBorders>
              <w:top w:val="single" w:sz="4" w:space="0" w:color="auto"/>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2.2</w:t>
            </w:r>
          </w:p>
        </w:tc>
        <w:tc>
          <w:tcPr>
            <w:tcW w:w="156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F30F17">
                <w:rPr>
                  <w:rFonts w:ascii="宋体" w:hAnsi="宋体" w:cs="宋体" w:hint="eastAsia"/>
                  <w:b/>
                  <w:bCs/>
                  <w:color w:val="000000"/>
                  <w:kern w:val="0"/>
                  <w:szCs w:val="21"/>
                </w:rPr>
                <w:t>2.2.1</w:t>
              </w:r>
            </w:smartTag>
            <w:r w:rsidRPr="00F30F17">
              <w:rPr>
                <w:rFonts w:ascii="宋体" w:hAnsi="宋体" w:cs="宋体" w:hint="eastAsia"/>
                <w:b/>
                <w:bCs/>
                <w:color w:val="000000"/>
                <w:kern w:val="0"/>
                <w:szCs w:val="21"/>
              </w:rPr>
              <w:t xml:space="preserve"> 配送终端客户点</w:t>
            </w:r>
            <w:r>
              <w:rPr>
                <w:rFonts w:ascii="宋体" w:hAnsi="宋体" w:cs="宋体" w:hint="eastAsia"/>
                <w:b/>
                <w:bCs/>
                <w:color w:val="000000"/>
                <w:kern w:val="0"/>
                <w:szCs w:val="21"/>
              </w:rPr>
              <w:t>10</w:t>
            </w:r>
            <w:r w:rsidRPr="00F30F17">
              <w:rPr>
                <w:rFonts w:ascii="宋体" w:hAnsi="宋体" w:cs="宋体" w:hint="eastAsia"/>
                <w:b/>
                <w:bCs/>
                <w:color w:val="000000"/>
                <w:kern w:val="0"/>
                <w:szCs w:val="21"/>
              </w:rPr>
              <w:t>0家以上</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系统经营记录审核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配送终端客户点：</w:t>
            </w:r>
            <w:r>
              <w:rPr>
                <w:rFonts w:ascii="宋体" w:hAnsi="宋体" w:cs="宋体" w:hint="eastAsia"/>
                <w:color w:val="000000"/>
                <w:kern w:val="0"/>
                <w:szCs w:val="21"/>
              </w:rPr>
              <w:t>10</w:t>
            </w:r>
            <w:r w:rsidRPr="00F30F17">
              <w:rPr>
                <w:rFonts w:ascii="宋体" w:hAnsi="宋体" w:cs="宋体" w:hint="eastAsia"/>
                <w:color w:val="000000"/>
                <w:kern w:val="0"/>
                <w:szCs w:val="21"/>
              </w:rPr>
              <w:t>0</w:t>
            </w:r>
            <w:r>
              <w:rPr>
                <w:rFonts w:ascii="宋体" w:hAnsi="宋体" w:cs="宋体" w:hint="eastAsia"/>
                <w:color w:val="000000"/>
                <w:kern w:val="0"/>
                <w:szCs w:val="21"/>
              </w:rPr>
              <w:t>家以上</w:t>
            </w:r>
            <w:r w:rsidRPr="00F30F17">
              <w:rPr>
                <w:rFonts w:ascii="宋体" w:hAnsi="宋体" w:cs="宋体"/>
                <w:color w:val="000000"/>
                <w:kern w:val="0"/>
                <w:szCs w:val="21"/>
              </w:rPr>
              <w:t xml:space="preserve"> </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tcBorders>
              <w:top w:val="single" w:sz="4" w:space="0" w:color="auto"/>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2.2</w:t>
            </w:r>
          </w:p>
        </w:tc>
        <w:tc>
          <w:tcPr>
            <w:tcW w:w="156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F30F17">
                <w:rPr>
                  <w:rFonts w:ascii="宋体" w:hAnsi="宋体" w:cs="宋体" w:hint="eastAsia"/>
                  <w:b/>
                  <w:bCs/>
                  <w:color w:val="000000"/>
                  <w:kern w:val="0"/>
                  <w:szCs w:val="21"/>
                </w:rPr>
                <w:t>2.2.2</w:t>
              </w:r>
            </w:smartTag>
            <w:r w:rsidRPr="00F30F17">
              <w:rPr>
                <w:rFonts w:ascii="宋体" w:hAnsi="宋体" w:cs="宋体" w:hint="eastAsia"/>
                <w:b/>
                <w:bCs/>
                <w:color w:val="000000"/>
                <w:kern w:val="0"/>
                <w:szCs w:val="21"/>
              </w:rPr>
              <w:t xml:space="preserve"> 配送终端客户点50</w:t>
            </w:r>
            <w:r>
              <w:rPr>
                <w:rFonts w:ascii="宋体" w:hAnsi="宋体" w:cs="宋体" w:hint="eastAsia"/>
                <w:b/>
                <w:bCs/>
                <w:color w:val="000000"/>
                <w:kern w:val="0"/>
                <w:szCs w:val="21"/>
              </w:rPr>
              <w:t>0</w:t>
            </w:r>
            <w:r w:rsidRPr="00F30F17">
              <w:rPr>
                <w:rFonts w:ascii="宋体" w:hAnsi="宋体" w:cs="宋体" w:hint="eastAsia"/>
                <w:b/>
                <w:bCs/>
                <w:color w:val="000000"/>
                <w:kern w:val="0"/>
                <w:szCs w:val="21"/>
              </w:rPr>
              <w:t>家以上</w:t>
            </w: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配送终端客户点：5</w:t>
            </w:r>
            <w:r>
              <w:rPr>
                <w:rFonts w:ascii="宋体" w:hAnsi="宋体" w:cs="宋体" w:hint="eastAsia"/>
                <w:color w:val="000000"/>
                <w:kern w:val="0"/>
                <w:szCs w:val="21"/>
              </w:rPr>
              <w:t>0</w:t>
            </w:r>
            <w:r w:rsidRPr="00F30F17">
              <w:rPr>
                <w:rFonts w:ascii="宋体" w:hAnsi="宋体" w:cs="宋体" w:hint="eastAsia"/>
                <w:color w:val="000000"/>
                <w:kern w:val="0"/>
                <w:szCs w:val="21"/>
              </w:rPr>
              <w:t>0</w:t>
            </w:r>
            <w:r>
              <w:rPr>
                <w:rFonts w:ascii="宋体" w:hAnsi="宋体" w:cs="宋体" w:hint="eastAsia"/>
                <w:color w:val="000000"/>
                <w:kern w:val="0"/>
                <w:szCs w:val="21"/>
              </w:rPr>
              <w:t>家以上</w:t>
            </w:r>
            <w:r w:rsidRPr="00F30F17">
              <w:rPr>
                <w:rFonts w:ascii="宋体" w:hAnsi="宋体" w:cs="宋体"/>
                <w:color w:val="000000"/>
                <w:kern w:val="0"/>
                <w:szCs w:val="21"/>
              </w:rPr>
              <w:t xml:space="preserve"> </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382"/>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tcBorders>
              <w:top w:val="single" w:sz="4" w:space="0" w:color="auto"/>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2.2</w:t>
            </w:r>
          </w:p>
        </w:tc>
        <w:tc>
          <w:tcPr>
            <w:tcW w:w="156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F30F17">
                <w:rPr>
                  <w:rFonts w:ascii="宋体" w:hAnsi="宋体" w:cs="宋体" w:hint="eastAsia"/>
                  <w:b/>
                  <w:bCs/>
                  <w:color w:val="000000"/>
                  <w:kern w:val="0"/>
                  <w:szCs w:val="21"/>
                </w:rPr>
                <w:t>2.2.3</w:t>
              </w:r>
            </w:smartTag>
            <w:r w:rsidRPr="00F30F17">
              <w:rPr>
                <w:rFonts w:ascii="宋体" w:hAnsi="宋体" w:cs="宋体" w:hint="eastAsia"/>
                <w:b/>
                <w:bCs/>
                <w:color w:val="000000"/>
                <w:kern w:val="0"/>
                <w:szCs w:val="21"/>
              </w:rPr>
              <w:t xml:space="preserve"> 配送终端客户点</w:t>
            </w:r>
            <w:r>
              <w:rPr>
                <w:rFonts w:ascii="宋体" w:hAnsi="宋体" w:cs="宋体" w:hint="eastAsia"/>
                <w:b/>
                <w:bCs/>
                <w:color w:val="000000"/>
                <w:kern w:val="0"/>
                <w:szCs w:val="21"/>
              </w:rPr>
              <w:t>1</w:t>
            </w:r>
            <w:r w:rsidRPr="00F30F17">
              <w:rPr>
                <w:rFonts w:ascii="宋体" w:hAnsi="宋体" w:cs="宋体" w:hint="eastAsia"/>
                <w:b/>
                <w:bCs/>
                <w:color w:val="000000"/>
                <w:kern w:val="0"/>
                <w:szCs w:val="21"/>
              </w:rPr>
              <w:t>000家以上</w:t>
            </w: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配送终端客户点：</w:t>
            </w:r>
            <w:r>
              <w:rPr>
                <w:rFonts w:ascii="宋体" w:hAnsi="宋体" w:cs="宋体" w:hint="eastAsia"/>
                <w:color w:val="000000"/>
                <w:kern w:val="0"/>
                <w:szCs w:val="21"/>
              </w:rPr>
              <w:t>1000</w:t>
            </w:r>
            <w:r w:rsidRPr="00F30F17">
              <w:rPr>
                <w:rFonts w:ascii="宋体" w:hAnsi="宋体" w:cs="宋体" w:hint="eastAsia"/>
                <w:color w:val="000000"/>
                <w:kern w:val="0"/>
                <w:szCs w:val="21"/>
              </w:rPr>
              <w:t>家以上</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40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single" w:sz="4" w:space="0" w:color="auto"/>
              <w:left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w:t>
            </w:r>
            <w:r>
              <w:rPr>
                <w:rFonts w:ascii="宋体" w:hAnsi="宋体" w:cs="宋体" w:hint="eastAsia"/>
                <w:color w:val="000000"/>
                <w:kern w:val="0"/>
                <w:szCs w:val="21"/>
              </w:rPr>
              <w:t>3</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2.3</w:t>
              </w:r>
              <w:r w:rsidRPr="00F30F17">
                <w:rPr>
                  <w:rFonts w:ascii="宋体" w:hAnsi="宋体" w:cs="宋体" w:hint="eastAsia"/>
                  <w:b/>
                  <w:bCs/>
                  <w:color w:val="000000"/>
                  <w:kern w:val="0"/>
                  <w:szCs w:val="21"/>
                </w:rPr>
                <w:t>.1</w:t>
              </w:r>
            </w:smartTag>
            <w:r w:rsidRPr="00F30F17">
              <w:rPr>
                <w:rFonts w:ascii="宋体" w:hAnsi="宋体" w:cs="宋体" w:hint="eastAsia"/>
                <w:b/>
                <w:bCs/>
                <w:color w:val="000000"/>
                <w:kern w:val="0"/>
                <w:szCs w:val="21"/>
              </w:rPr>
              <w:t xml:space="preserve"> 专门从事中药材（饮片）经营的企业年吞吐量</w:t>
            </w:r>
            <w:r>
              <w:rPr>
                <w:rFonts w:ascii="宋体" w:hAnsi="宋体" w:cs="宋体" w:hint="eastAsia"/>
                <w:b/>
                <w:bCs/>
                <w:color w:val="000000"/>
                <w:kern w:val="0"/>
                <w:szCs w:val="21"/>
              </w:rPr>
              <w:t>不低于5</w:t>
            </w:r>
            <w:r w:rsidRPr="00F30F17">
              <w:rPr>
                <w:rFonts w:ascii="宋体" w:hAnsi="宋体" w:cs="宋体" w:hint="eastAsia"/>
                <w:b/>
                <w:bCs/>
                <w:color w:val="000000"/>
                <w:kern w:val="0"/>
                <w:szCs w:val="21"/>
              </w:rPr>
              <w:t>00吨</w:t>
            </w:r>
          </w:p>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在库商品数：300～400个（不含400个）</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系统经营记录审核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1、中药材（饮片）年吞吐量：</w:t>
            </w:r>
            <w:r>
              <w:rPr>
                <w:rFonts w:ascii="宋体" w:hAnsi="宋体" w:cs="宋体" w:hint="eastAsia"/>
                <w:color w:val="000000"/>
                <w:kern w:val="0"/>
                <w:szCs w:val="21"/>
              </w:rPr>
              <w:t>不低于5</w:t>
            </w:r>
            <w:r w:rsidRPr="00F30F17">
              <w:rPr>
                <w:rFonts w:ascii="宋体" w:hAnsi="宋体" w:cs="宋体" w:hint="eastAsia"/>
                <w:color w:val="000000"/>
                <w:kern w:val="0"/>
                <w:szCs w:val="21"/>
              </w:rPr>
              <w:t>00吨</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43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2、在库品</w:t>
            </w:r>
            <w:r>
              <w:rPr>
                <w:rFonts w:ascii="宋体" w:hAnsi="宋体" w:cs="宋体" w:hint="eastAsia"/>
                <w:color w:val="000000"/>
                <w:kern w:val="0"/>
                <w:szCs w:val="21"/>
              </w:rPr>
              <w:t>种</w:t>
            </w:r>
            <w:r w:rsidRPr="00F30F17">
              <w:rPr>
                <w:rFonts w:ascii="宋体" w:hAnsi="宋体" w:cs="宋体" w:hint="eastAsia"/>
                <w:color w:val="000000"/>
                <w:kern w:val="0"/>
                <w:szCs w:val="21"/>
              </w:rPr>
              <w:t>数：300个以上</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45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single" w:sz="4" w:space="0" w:color="auto"/>
              <w:left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w:t>
            </w:r>
            <w:r>
              <w:rPr>
                <w:rFonts w:ascii="宋体" w:hAnsi="宋体" w:cs="宋体" w:hint="eastAsia"/>
                <w:color w:val="000000"/>
                <w:kern w:val="0"/>
                <w:szCs w:val="21"/>
              </w:rPr>
              <w:t>3</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2.3</w:t>
              </w:r>
              <w:r w:rsidRPr="00F30F17">
                <w:rPr>
                  <w:rFonts w:ascii="宋体" w:hAnsi="宋体" w:cs="宋体" w:hint="eastAsia"/>
                  <w:b/>
                  <w:bCs/>
                  <w:color w:val="000000"/>
                  <w:kern w:val="0"/>
                  <w:szCs w:val="21"/>
                </w:rPr>
                <w:t>.2</w:t>
              </w:r>
            </w:smartTag>
            <w:r w:rsidRPr="00F30F17">
              <w:rPr>
                <w:rFonts w:ascii="宋体" w:hAnsi="宋体" w:cs="宋体" w:hint="eastAsia"/>
                <w:b/>
                <w:bCs/>
                <w:color w:val="000000"/>
                <w:kern w:val="0"/>
                <w:szCs w:val="21"/>
              </w:rPr>
              <w:t xml:space="preserve"> 专门从事中药材（饮片）经营的企业年吞吐量</w:t>
            </w:r>
            <w:r>
              <w:rPr>
                <w:rFonts w:ascii="宋体" w:hAnsi="宋体" w:cs="宋体" w:hint="eastAsia"/>
                <w:b/>
                <w:bCs/>
                <w:color w:val="000000"/>
                <w:kern w:val="0"/>
                <w:szCs w:val="21"/>
              </w:rPr>
              <w:t>不低于10</w:t>
            </w:r>
            <w:r w:rsidRPr="00F30F17">
              <w:rPr>
                <w:rFonts w:ascii="宋体" w:hAnsi="宋体" w:cs="宋体" w:hint="eastAsia"/>
                <w:b/>
                <w:bCs/>
                <w:color w:val="000000"/>
                <w:kern w:val="0"/>
                <w:szCs w:val="21"/>
              </w:rPr>
              <w:t>00吨</w:t>
            </w:r>
          </w:p>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在库商品数：400～600个（不含600个）</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系统经营记录审核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1、中药材（饮片）年吞吐量：</w:t>
            </w:r>
            <w:r>
              <w:rPr>
                <w:rFonts w:ascii="宋体" w:hAnsi="宋体" w:cs="宋体" w:hint="eastAsia"/>
                <w:color w:val="000000"/>
                <w:kern w:val="0"/>
                <w:szCs w:val="21"/>
              </w:rPr>
              <w:t>不低于10</w:t>
            </w:r>
            <w:r w:rsidRPr="00F30F17">
              <w:rPr>
                <w:rFonts w:ascii="宋体" w:hAnsi="宋体" w:cs="宋体" w:hint="eastAsia"/>
                <w:color w:val="000000"/>
                <w:kern w:val="0"/>
                <w:szCs w:val="21"/>
              </w:rPr>
              <w:t>00吨</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45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w:t>
            </w:r>
            <w:r>
              <w:rPr>
                <w:rFonts w:ascii="宋体" w:hAnsi="宋体" w:cs="宋体" w:hint="eastAsia"/>
                <w:color w:val="000000"/>
                <w:kern w:val="0"/>
                <w:szCs w:val="21"/>
              </w:rPr>
              <w:t>、在库</w:t>
            </w:r>
            <w:r w:rsidRPr="00F30F17">
              <w:rPr>
                <w:rFonts w:ascii="宋体" w:hAnsi="宋体" w:cs="宋体" w:hint="eastAsia"/>
                <w:color w:val="000000"/>
                <w:kern w:val="0"/>
                <w:szCs w:val="21"/>
              </w:rPr>
              <w:t>品</w:t>
            </w:r>
            <w:r>
              <w:rPr>
                <w:rFonts w:ascii="宋体" w:hAnsi="宋体" w:cs="宋体" w:hint="eastAsia"/>
                <w:color w:val="000000"/>
                <w:kern w:val="0"/>
                <w:szCs w:val="21"/>
              </w:rPr>
              <w:t>种</w:t>
            </w:r>
            <w:r w:rsidRPr="00F30F17">
              <w:rPr>
                <w:rFonts w:ascii="宋体" w:hAnsi="宋体" w:cs="宋体" w:hint="eastAsia"/>
                <w:color w:val="000000"/>
                <w:kern w:val="0"/>
                <w:szCs w:val="21"/>
              </w:rPr>
              <w:t>数：400个以上</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single" w:sz="4" w:space="0" w:color="auto"/>
              <w:left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2.</w:t>
            </w:r>
            <w:r>
              <w:rPr>
                <w:rFonts w:ascii="宋体" w:hAnsi="宋体" w:cs="宋体" w:hint="eastAsia"/>
                <w:color w:val="000000"/>
                <w:kern w:val="0"/>
                <w:szCs w:val="21"/>
              </w:rPr>
              <w:t>3</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2.3</w:t>
              </w:r>
              <w:r w:rsidRPr="00F30F17">
                <w:rPr>
                  <w:rFonts w:ascii="宋体" w:hAnsi="宋体" w:cs="宋体" w:hint="eastAsia"/>
                  <w:b/>
                  <w:bCs/>
                  <w:color w:val="000000"/>
                  <w:kern w:val="0"/>
                  <w:szCs w:val="21"/>
                </w:rPr>
                <w:t>.3</w:t>
              </w:r>
            </w:smartTag>
            <w:r w:rsidRPr="00F30F17">
              <w:rPr>
                <w:rFonts w:ascii="宋体" w:hAnsi="宋体" w:cs="宋体" w:hint="eastAsia"/>
                <w:b/>
                <w:bCs/>
                <w:color w:val="000000"/>
                <w:kern w:val="0"/>
                <w:szCs w:val="21"/>
              </w:rPr>
              <w:t xml:space="preserve"> 专门从事中药材（饮片）经营的企业年吞吐量</w:t>
            </w:r>
            <w:r>
              <w:rPr>
                <w:rFonts w:ascii="宋体" w:hAnsi="宋体" w:cs="宋体" w:hint="eastAsia"/>
                <w:b/>
                <w:bCs/>
                <w:color w:val="000000"/>
                <w:kern w:val="0"/>
                <w:szCs w:val="21"/>
              </w:rPr>
              <w:t>不低于15</w:t>
            </w:r>
            <w:r w:rsidRPr="00F30F17">
              <w:rPr>
                <w:rFonts w:ascii="宋体" w:hAnsi="宋体" w:cs="宋体" w:hint="eastAsia"/>
                <w:b/>
                <w:bCs/>
                <w:color w:val="000000"/>
                <w:kern w:val="0"/>
                <w:szCs w:val="21"/>
              </w:rPr>
              <w:t>00吨</w:t>
            </w:r>
          </w:p>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在库商品数：600个以上（含600个）</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系统经营记录审核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1、中药材（饮片）年吞吐量：</w:t>
            </w:r>
            <w:r>
              <w:rPr>
                <w:rFonts w:ascii="宋体" w:hAnsi="宋体" w:cs="宋体" w:hint="eastAsia"/>
                <w:color w:val="000000"/>
                <w:kern w:val="0"/>
                <w:szCs w:val="21"/>
              </w:rPr>
              <w:t>不低于15</w:t>
            </w:r>
            <w:r w:rsidRPr="00F30F17">
              <w:rPr>
                <w:rFonts w:ascii="宋体" w:hAnsi="宋体" w:cs="宋体" w:hint="eastAsia"/>
                <w:color w:val="000000"/>
                <w:kern w:val="0"/>
                <w:szCs w:val="21"/>
              </w:rPr>
              <w:t>00吨</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48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w:t>
            </w:r>
            <w:r>
              <w:rPr>
                <w:rFonts w:ascii="宋体" w:hAnsi="宋体" w:cs="宋体" w:hint="eastAsia"/>
                <w:color w:val="000000"/>
                <w:kern w:val="0"/>
                <w:szCs w:val="21"/>
              </w:rPr>
              <w:t>、在库</w:t>
            </w:r>
            <w:r w:rsidRPr="00F30F17">
              <w:rPr>
                <w:rFonts w:ascii="宋体" w:hAnsi="宋体" w:cs="宋体" w:hint="eastAsia"/>
                <w:color w:val="000000"/>
                <w:kern w:val="0"/>
                <w:szCs w:val="21"/>
              </w:rPr>
              <w:t>品</w:t>
            </w:r>
            <w:r>
              <w:rPr>
                <w:rFonts w:ascii="宋体" w:hAnsi="宋体" w:cs="宋体" w:hint="eastAsia"/>
                <w:color w:val="000000"/>
                <w:kern w:val="0"/>
                <w:szCs w:val="21"/>
              </w:rPr>
              <w:t>种</w:t>
            </w:r>
            <w:r w:rsidRPr="00F30F17">
              <w:rPr>
                <w:rFonts w:ascii="宋体" w:hAnsi="宋体" w:cs="宋体" w:hint="eastAsia"/>
                <w:color w:val="000000"/>
                <w:kern w:val="0"/>
                <w:szCs w:val="21"/>
              </w:rPr>
              <w:t>数：600个以上（含600个）</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71"/>
        </w:trPr>
        <w:tc>
          <w:tcPr>
            <w:tcW w:w="234" w:type="pct"/>
            <w:vMerge w:val="restart"/>
            <w:tcBorders>
              <w:top w:val="nil"/>
              <w:left w:val="single" w:sz="8"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Pr>
                <w:rFonts w:ascii="宋体" w:hAnsi="宋体" w:cs="宋体" w:hint="eastAsia"/>
                <w:b/>
                <w:bCs/>
                <w:color w:val="000000"/>
                <w:kern w:val="0"/>
                <w:szCs w:val="21"/>
              </w:rPr>
              <w:t>静态</w:t>
            </w:r>
            <w:r w:rsidRPr="00F30F17">
              <w:rPr>
                <w:rFonts w:ascii="宋体" w:hAnsi="宋体" w:cs="宋体" w:hint="eastAsia"/>
                <w:b/>
                <w:bCs/>
                <w:color w:val="000000"/>
                <w:kern w:val="0"/>
                <w:szCs w:val="21"/>
              </w:rPr>
              <w:t>物流</w:t>
            </w:r>
            <w:r>
              <w:rPr>
                <w:rFonts w:ascii="宋体" w:hAnsi="宋体" w:cs="宋体" w:hint="eastAsia"/>
                <w:b/>
                <w:bCs/>
                <w:color w:val="000000"/>
                <w:kern w:val="0"/>
                <w:szCs w:val="21"/>
              </w:rPr>
              <w:t>要素能力</w:t>
            </w:r>
          </w:p>
        </w:tc>
        <w:tc>
          <w:tcPr>
            <w:tcW w:w="313"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.1</w:t>
            </w:r>
          </w:p>
        </w:tc>
        <w:tc>
          <w:tcPr>
            <w:tcW w:w="1562"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5</w:t>
              </w:r>
              <w:r w:rsidRPr="00F30F17">
                <w:rPr>
                  <w:rFonts w:ascii="宋体" w:hAnsi="宋体" w:cs="宋体" w:hint="eastAsia"/>
                  <w:b/>
                  <w:bCs/>
                  <w:color w:val="000000"/>
                  <w:kern w:val="0"/>
                  <w:szCs w:val="21"/>
                </w:rPr>
                <w:t>.1.1</w:t>
              </w:r>
            </w:smartTag>
            <w:r w:rsidRPr="00F30F17">
              <w:rPr>
                <w:rFonts w:ascii="宋体" w:hAnsi="宋体" w:cs="宋体" w:hint="eastAsia"/>
                <w:b/>
                <w:bCs/>
                <w:color w:val="000000"/>
                <w:kern w:val="0"/>
                <w:szCs w:val="21"/>
              </w:rPr>
              <w:t xml:space="preserve"> 自有或租用仓库5000 ㎡以上(</w:t>
            </w:r>
            <w:r>
              <w:rPr>
                <w:rFonts w:ascii="宋体" w:hAnsi="宋体" w:cs="宋体" w:hint="eastAsia"/>
                <w:b/>
                <w:bCs/>
                <w:color w:val="000000"/>
                <w:kern w:val="0"/>
                <w:szCs w:val="21"/>
              </w:rPr>
              <w:t>省辖市、地级市</w:t>
            </w:r>
            <w:r w:rsidRPr="00F30F17">
              <w:rPr>
                <w:rFonts w:ascii="宋体" w:hAnsi="宋体" w:cs="宋体" w:hint="eastAsia"/>
                <w:b/>
                <w:bCs/>
                <w:color w:val="000000"/>
                <w:kern w:val="0"/>
                <w:szCs w:val="21"/>
              </w:rPr>
              <w:t>药</w:t>
            </w:r>
            <w:r>
              <w:rPr>
                <w:rFonts w:ascii="宋体" w:hAnsi="宋体" w:cs="宋体" w:hint="eastAsia"/>
                <w:b/>
                <w:bCs/>
                <w:color w:val="000000"/>
                <w:kern w:val="0"/>
                <w:szCs w:val="21"/>
              </w:rPr>
              <w:t>品批发</w:t>
            </w:r>
            <w:r w:rsidRPr="00F30F17">
              <w:rPr>
                <w:rFonts w:ascii="宋体" w:hAnsi="宋体" w:cs="宋体" w:hint="eastAsia"/>
                <w:b/>
                <w:bCs/>
                <w:color w:val="000000"/>
                <w:kern w:val="0"/>
                <w:szCs w:val="21"/>
              </w:rPr>
              <w:t>企业，不包括办公、生活场所面积)</w:t>
            </w:r>
          </w:p>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自有或租用1000㎡以上仓库(</w:t>
            </w:r>
            <w:r>
              <w:rPr>
                <w:rFonts w:ascii="宋体" w:hAnsi="宋体" w:cs="宋体" w:hint="eastAsia"/>
                <w:b/>
                <w:bCs/>
                <w:color w:val="000000"/>
                <w:kern w:val="0"/>
                <w:szCs w:val="21"/>
              </w:rPr>
              <w:t>县级以下</w:t>
            </w:r>
            <w:r w:rsidRPr="00F30F17">
              <w:rPr>
                <w:rFonts w:ascii="宋体" w:hAnsi="宋体" w:cs="宋体" w:hint="eastAsia"/>
                <w:b/>
                <w:bCs/>
                <w:color w:val="000000"/>
                <w:kern w:val="0"/>
                <w:szCs w:val="21"/>
              </w:rPr>
              <w:t>药</w:t>
            </w:r>
            <w:r>
              <w:rPr>
                <w:rFonts w:ascii="宋体" w:hAnsi="宋体" w:cs="宋体" w:hint="eastAsia"/>
                <w:b/>
                <w:bCs/>
                <w:color w:val="000000"/>
                <w:kern w:val="0"/>
                <w:szCs w:val="21"/>
              </w:rPr>
              <w:t>品批发</w:t>
            </w:r>
            <w:r w:rsidRPr="00F30F17">
              <w:rPr>
                <w:rFonts w:ascii="宋体" w:hAnsi="宋体" w:cs="宋体" w:hint="eastAsia"/>
                <w:b/>
                <w:bCs/>
                <w:color w:val="000000"/>
                <w:kern w:val="0"/>
                <w:szCs w:val="21"/>
              </w:rPr>
              <w:t>企业，不包括办公、生活场所面积</w:t>
            </w:r>
            <w:r>
              <w:rPr>
                <w:rFonts w:ascii="宋体" w:hAnsi="宋体" w:cs="宋体" w:hint="eastAsia"/>
                <w:b/>
                <w:bCs/>
                <w:color w:val="000000"/>
                <w:kern w:val="0"/>
                <w:szCs w:val="21"/>
              </w:rPr>
              <w:t>)</w:t>
            </w:r>
          </w:p>
        </w:tc>
        <w:tc>
          <w:tcPr>
            <w:tcW w:w="508" w:type="pct"/>
            <w:vMerge w:val="restart"/>
            <w:tcBorders>
              <w:top w:val="nil"/>
              <w:left w:val="single" w:sz="4" w:space="0" w:color="auto"/>
              <w:right w:val="single" w:sz="4" w:space="0" w:color="auto"/>
            </w:tcBorders>
            <w:shd w:val="clear" w:color="auto" w:fill="auto"/>
            <w:noWrap/>
            <w:vAlign w:val="center"/>
          </w:tcPr>
          <w:p w:rsidR="00FE0EA8" w:rsidRPr="00F30F17" w:rsidRDefault="00FE0EA8" w:rsidP="00164439">
            <w:pPr>
              <w:jc w:val="center"/>
              <w:rPr>
                <w:rFonts w:ascii="宋体" w:hAnsi="宋体" w:cs="宋体"/>
                <w:color w:val="000000"/>
                <w:kern w:val="0"/>
                <w:sz w:val="22"/>
                <w:szCs w:val="22"/>
              </w:rPr>
            </w:pPr>
            <w:r w:rsidRPr="00F30F17">
              <w:rPr>
                <w:rFonts w:ascii="宋体" w:hAnsi="宋体" w:cs="宋体" w:hint="eastAsia"/>
                <w:color w:val="000000"/>
                <w:kern w:val="0"/>
                <w:szCs w:val="21"/>
              </w:rPr>
              <w:t>查看房产证       或租赁协议            和现场审核</w:t>
            </w:r>
          </w:p>
        </w:tc>
        <w:tc>
          <w:tcPr>
            <w:tcW w:w="1402" w:type="pct"/>
            <w:vMerge w:val="restart"/>
            <w:tcBorders>
              <w:top w:val="nil"/>
              <w:left w:val="nil"/>
              <w:right w:val="single" w:sz="4" w:space="0" w:color="auto"/>
            </w:tcBorders>
            <w:shd w:val="clear" w:color="auto" w:fill="auto"/>
            <w:vAlign w:val="center"/>
          </w:tcPr>
          <w:p w:rsidR="00FE0EA8" w:rsidRPr="00F30F17" w:rsidRDefault="00FE0EA8" w:rsidP="00164439">
            <w:pPr>
              <w:rPr>
                <w:rFonts w:ascii="宋体" w:hAnsi="宋体" w:cs="宋体"/>
                <w:kern w:val="0"/>
                <w:szCs w:val="21"/>
              </w:rPr>
            </w:pPr>
            <w:r>
              <w:rPr>
                <w:rFonts w:ascii="宋体" w:hAnsi="宋体" w:cs="宋体" w:hint="eastAsia"/>
                <w:color w:val="000000"/>
                <w:kern w:val="0"/>
                <w:szCs w:val="21"/>
              </w:rPr>
              <w:t>1、省辖市、地级市药品批发</w:t>
            </w:r>
            <w:r w:rsidRPr="00F30F17">
              <w:rPr>
                <w:rFonts w:ascii="宋体" w:hAnsi="宋体" w:cs="宋体" w:hint="eastAsia"/>
                <w:color w:val="000000"/>
                <w:kern w:val="0"/>
                <w:szCs w:val="21"/>
              </w:rPr>
              <w:t>企业：自有或租用仓库面积5000 ㎡以上</w:t>
            </w:r>
            <w:r>
              <w:rPr>
                <w:rFonts w:ascii="宋体" w:hAnsi="宋体" w:cs="宋体" w:hint="eastAsia"/>
                <w:color w:val="000000"/>
                <w:kern w:val="0"/>
                <w:szCs w:val="21"/>
              </w:rPr>
              <w:t>（</w:t>
            </w:r>
            <w:r w:rsidRPr="00F30F17">
              <w:rPr>
                <w:rFonts w:ascii="宋体" w:hAnsi="宋体" w:cs="宋体" w:hint="eastAsia"/>
                <w:color w:val="000000"/>
                <w:kern w:val="0"/>
                <w:szCs w:val="21"/>
              </w:rPr>
              <w:t>不包括办公、生活场所面积)</w:t>
            </w:r>
          </w:p>
        </w:tc>
        <w:tc>
          <w:tcPr>
            <w:tcW w:w="151" w:type="pct"/>
            <w:vMerge w:val="restart"/>
            <w:tcBorders>
              <w:top w:val="nil"/>
              <w:left w:val="nil"/>
              <w:right w:val="single" w:sz="4" w:space="0" w:color="auto"/>
            </w:tcBorders>
            <w:shd w:val="clear" w:color="auto" w:fill="auto"/>
            <w:vAlign w:val="center"/>
          </w:tcPr>
          <w:p w:rsidR="00FE0EA8" w:rsidRPr="00F30F17" w:rsidRDefault="00FE0EA8" w:rsidP="00164439">
            <w:pPr>
              <w:widowControl/>
              <w:jc w:val="left"/>
              <w:rPr>
                <w:rFonts w:ascii="宋体" w:hAnsi="宋体" w:cs="宋体" w:hint="eastAsia"/>
                <w:color w:val="000000"/>
                <w:kern w:val="0"/>
                <w:szCs w:val="21"/>
              </w:rPr>
            </w:pPr>
            <w:r w:rsidRPr="00F30F17">
              <w:rPr>
                <w:rFonts w:ascii="宋体" w:hAnsi="宋体" w:cs="宋体" w:hint="eastAsia"/>
                <w:color w:val="000000"/>
                <w:kern w:val="0"/>
                <w:szCs w:val="21"/>
              </w:rPr>
              <w:t xml:space="preserve">　</w:t>
            </w:r>
          </w:p>
        </w:tc>
        <w:tc>
          <w:tcPr>
            <w:tcW w:w="178" w:type="pct"/>
            <w:vMerge w:val="restart"/>
            <w:tcBorders>
              <w:top w:val="nil"/>
              <w:left w:val="nil"/>
              <w:right w:val="single" w:sz="4" w:space="0" w:color="auto"/>
            </w:tcBorders>
            <w:shd w:val="clear" w:color="auto" w:fill="auto"/>
            <w:vAlign w:val="center"/>
          </w:tcPr>
          <w:p w:rsidR="00FE0EA8" w:rsidRPr="00F30F17" w:rsidRDefault="00FE0EA8"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vMerge w:val="restart"/>
            <w:tcBorders>
              <w:top w:val="nil"/>
              <w:left w:val="nil"/>
              <w:right w:val="single" w:sz="4" w:space="0" w:color="auto"/>
            </w:tcBorders>
            <w:shd w:val="clear" w:color="auto" w:fill="auto"/>
            <w:vAlign w:val="center"/>
          </w:tcPr>
          <w:p w:rsidR="00FE0EA8" w:rsidRPr="00F30F17" w:rsidRDefault="00FE0EA8"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vMerge w:val="restart"/>
            <w:tcBorders>
              <w:top w:val="nil"/>
              <w:left w:val="nil"/>
              <w:right w:val="single" w:sz="4" w:space="0" w:color="auto"/>
            </w:tcBorders>
            <w:shd w:val="clear" w:color="auto" w:fill="auto"/>
            <w:vAlign w:val="center"/>
          </w:tcPr>
          <w:p w:rsidR="00FE0EA8" w:rsidRPr="00F30F17" w:rsidRDefault="00FE0EA8"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right w:val="single" w:sz="8" w:space="0" w:color="auto"/>
            </w:tcBorders>
            <w:shd w:val="clear" w:color="auto" w:fill="auto"/>
            <w:noWrap/>
            <w:vAlign w:val="center"/>
          </w:tcPr>
          <w:p w:rsidR="00FE0EA8" w:rsidRPr="00F30F17" w:rsidRDefault="00FE0EA8" w:rsidP="00164439">
            <w:pPr>
              <w:widowControl/>
              <w:jc w:val="left"/>
              <w:rPr>
                <w:rFonts w:ascii="宋体" w:hAnsi="宋体" w:cs="宋体" w:hint="eastAsia"/>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left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p>
        </w:tc>
        <w:tc>
          <w:tcPr>
            <w:tcW w:w="1402" w:type="pct"/>
            <w:vMerge/>
            <w:tcBorders>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p>
        </w:tc>
        <w:tc>
          <w:tcPr>
            <w:tcW w:w="151" w:type="pct"/>
            <w:vMerge/>
            <w:tcBorders>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p>
        </w:tc>
        <w:tc>
          <w:tcPr>
            <w:tcW w:w="178" w:type="pct"/>
            <w:vMerge/>
            <w:tcBorders>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p>
        </w:tc>
        <w:tc>
          <w:tcPr>
            <w:tcW w:w="178" w:type="pct"/>
            <w:vMerge/>
            <w:tcBorders>
              <w:left w:val="nil"/>
              <w:bottom w:val="single" w:sz="4" w:space="0" w:color="auto"/>
              <w:right w:val="single" w:sz="4" w:space="0" w:color="auto"/>
            </w:tcBorders>
            <w:shd w:val="clear" w:color="auto" w:fill="auto"/>
            <w:vAlign w:val="center"/>
          </w:tcPr>
          <w:p w:rsidR="00FE0EA8" w:rsidRPr="00F30F17" w:rsidRDefault="00FE0EA8" w:rsidP="00164439">
            <w:pPr>
              <w:jc w:val="center"/>
              <w:rPr>
                <w:rFonts w:ascii="宋体" w:hAnsi="宋体" w:cs="宋体"/>
                <w:color w:val="000000"/>
                <w:kern w:val="0"/>
                <w:szCs w:val="21"/>
              </w:rPr>
            </w:pPr>
          </w:p>
        </w:tc>
        <w:tc>
          <w:tcPr>
            <w:tcW w:w="279" w:type="pct"/>
            <w:vMerge/>
            <w:tcBorders>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Pr>
                <w:rFonts w:ascii="宋体" w:hAnsi="宋体" w:cs="宋体" w:hint="eastAsia"/>
                <w:color w:val="000000"/>
                <w:kern w:val="0"/>
                <w:szCs w:val="21"/>
              </w:rPr>
              <w:t>2、县级以下</w:t>
            </w:r>
            <w:r w:rsidRPr="00F30F17">
              <w:rPr>
                <w:rFonts w:ascii="宋体" w:hAnsi="宋体" w:cs="宋体" w:hint="eastAsia"/>
                <w:color w:val="000000"/>
                <w:kern w:val="0"/>
                <w:szCs w:val="21"/>
              </w:rPr>
              <w:t>药</w:t>
            </w:r>
            <w:r>
              <w:rPr>
                <w:rFonts w:ascii="宋体" w:hAnsi="宋体" w:cs="宋体" w:hint="eastAsia"/>
                <w:color w:val="000000"/>
                <w:kern w:val="0"/>
                <w:szCs w:val="21"/>
              </w:rPr>
              <w:t>品批发</w:t>
            </w:r>
            <w:r w:rsidRPr="00F30F17">
              <w:rPr>
                <w:rFonts w:ascii="宋体" w:hAnsi="宋体" w:cs="宋体" w:hint="eastAsia"/>
                <w:color w:val="000000"/>
                <w:kern w:val="0"/>
                <w:szCs w:val="21"/>
              </w:rPr>
              <w:t>企业：自有或租用1000㎡以上仓库</w:t>
            </w:r>
            <w:r>
              <w:rPr>
                <w:rFonts w:ascii="宋体" w:hAnsi="宋体" w:cs="宋体" w:hint="eastAsia"/>
                <w:color w:val="000000"/>
                <w:kern w:val="0"/>
                <w:szCs w:val="21"/>
              </w:rPr>
              <w:t>（</w:t>
            </w:r>
            <w:r w:rsidRPr="00F30F17">
              <w:rPr>
                <w:rFonts w:ascii="宋体" w:hAnsi="宋体" w:cs="宋体" w:hint="eastAsia"/>
                <w:color w:val="000000"/>
                <w:kern w:val="0"/>
                <w:szCs w:val="21"/>
              </w:rPr>
              <w:t>不包括办公、生活场所面积)</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43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5</w:t>
              </w:r>
              <w:r w:rsidRPr="00F30F17">
                <w:rPr>
                  <w:rFonts w:ascii="宋体" w:hAnsi="宋体" w:cs="宋体" w:hint="eastAsia"/>
                  <w:b/>
                  <w:bCs/>
                  <w:color w:val="000000"/>
                  <w:kern w:val="0"/>
                  <w:szCs w:val="21"/>
                </w:rPr>
                <w:t>.1.2</w:t>
              </w:r>
            </w:smartTag>
            <w:r w:rsidRPr="00F30F17">
              <w:rPr>
                <w:rFonts w:ascii="宋体" w:hAnsi="宋体" w:cs="宋体" w:hint="eastAsia"/>
                <w:b/>
                <w:bCs/>
                <w:color w:val="000000"/>
                <w:kern w:val="0"/>
                <w:szCs w:val="21"/>
              </w:rPr>
              <w:t>明确库房的区域功能划分，库区应具有阴凉和常温分区，经营生物制品、疫苗必须具备冷藏库及相应冷链配套设施，其中冷库面积80㎡以上</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查看库房分布图和现场审核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1、应有不同功能的库房类型并有标识</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2、应具有符合药品温度属性的阴凉（2～</w:t>
            </w:r>
            <w:smartTag w:uri="urn:schemas-microsoft-com:office:smarttags" w:element="chmetcnv">
              <w:smartTagPr>
                <w:attr w:name="UnitName" w:val="℃"/>
                <w:attr w:name="SourceValue" w:val="20"/>
                <w:attr w:name="HasSpace" w:val="False"/>
                <w:attr w:name="Negative" w:val="False"/>
                <w:attr w:name="NumberType" w:val="1"/>
                <w:attr w:name="TCSC" w:val="0"/>
              </w:smartTagPr>
              <w:r w:rsidRPr="00F30F17">
                <w:rPr>
                  <w:rFonts w:ascii="宋体" w:hAnsi="宋体" w:cs="宋体" w:hint="eastAsia"/>
                  <w:color w:val="000000"/>
                  <w:kern w:val="0"/>
                  <w:szCs w:val="21"/>
                </w:rPr>
                <w:t>20℃</w:t>
              </w:r>
            </w:smartTag>
            <w:r w:rsidRPr="00F30F17">
              <w:rPr>
                <w:rFonts w:ascii="宋体" w:hAnsi="宋体" w:cs="宋体" w:hint="eastAsia"/>
                <w:color w:val="000000"/>
                <w:kern w:val="0"/>
                <w:szCs w:val="21"/>
              </w:rPr>
              <w:t>）和常温（2～</w:t>
            </w:r>
            <w:smartTag w:uri="urn:schemas-microsoft-com:office:smarttags" w:element="chmetcnv">
              <w:smartTagPr>
                <w:attr w:name="UnitName" w:val="℃"/>
                <w:attr w:name="SourceValue" w:val="30"/>
                <w:attr w:name="HasSpace" w:val="False"/>
                <w:attr w:name="Negative" w:val="False"/>
                <w:attr w:name="NumberType" w:val="1"/>
                <w:attr w:name="TCSC" w:val="0"/>
              </w:smartTagPr>
              <w:r w:rsidRPr="00F30F17">
                <w:rPr>
                  <w:rFonts w:ascii="宋体" w:hAnsi="宋体" w:cs="宋体" w:hint="eastAsia"/>
                  <w:color w:val="000000"/>
                  <w:kern w:val="0"/>
                  <w:szCs w:val="21"/>
                </w:rPr>
                <w:t>30℃</w:t>
              </w:r>
            </w:smartTag>
            <w:r w:rsidRPr="00F30F17">
              <w:rPr>
                <w:rFonts w:ascii="宋体" w:hAnsi="宋体" w:cs="宋体" w:hint="eastAsia"/>
                <w:color w:val="000000"/>
                <w:kern w:val="0"/>
                <w:szCs w:val="21"/>
              </w:rPr>
              <w:t>）库房（区）</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102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3、经营冷藏药品（含生物制品、疫苗）应配备相应的冷链设施设备（包括但不限于冷库、制冷机组、温湿度自动检测系统、冷藏车、包装材料、测温器具等）</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4、冷库温度应符合2～</w:t>
            </w:r>
            <w:smartTag w:uri="urn:schemas-microsoft-com:office:smarttags" w:element="chmetcnv">
              <w:smartTagPr>
                <w:attr w:name="UnitName" w:val="℃"/>
                <w:attr w:name="SourceValue" w:val="8"/>
                <w:attr w:name="HasSpace" w:val="False"/>
                <w:attr w:name="Negative" w:val="False"/>
                <w:attr w:name="NumberType" w:val="1"/>
                <w:attr w:name="TCSC" w:val="0"/>
              </w:smartTagPr>
              <w:r w:rsidRPr="00F30F17">
                <w:rPr>
                  <w:rFonts w:ascii="宋体" w:hAnsi="宋体" w:cs="宋体" w:hint="eastAsia"/>
                  <w:color w:val="000000"/>
                  <w:kern w:val="0"/>
                  <w:szCs w:val="21"/>
                </w:rPr>
                <w:t>8℃</w:t>
              </w:r>
            </w:smartTag>
            <w:r w:rsidRPr="00F30F17">
              <w:rPr>
                <w:rFonts w:ascii="宋体" w:hAnsi="宋体" w:cs="宋体" w:hint="eastAsia"/>
                <w:color w:val="000000"/>
                <w:kern w:val="0"/>
                <w:szCs w:val="21"/>
              </w:rPr>
              <w:t>,或按药品说明书规定的贮存温度要求；冷库面积不少于80㎡</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5、疫苗贮存应配备两个以上独立冷库</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6、冷库应配备备用发电机组或双路供电系统</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76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7</w:t>
            </w:r>
            <w:r>
              <w:rPr>
                <w:rFonts w:ascii="宋体" w:hAnsi="宋体" w:cs="宋体" w:hint="eastAsia"/>
                <w:color w:val="000000"/>
                <w:kern w:val="0"/>
                <w:szCs w:val="21"/>
              </w:rPr>
              <w:t>、温湿度自动监测系统应具有实时和连续监测冷库温度、</w:t>
            </w:r>
            <w:r w:rsidRPr="00F30F17">
              <w:rPr>
                <w:rFonts w:ascii="宋体" w:hAnsi="宋体" w:cs="宋体" w:hint="eastAsia"/>
                <w:color w:val="000000"/>
                <w:kern w:val="0"/>
                <w:szCs w:val="21"/>
              </w:rPr>
              <w:t>对温度异常自动报警、温度数据自动记录、备份等功能</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1433"/>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1562" w:type="pc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5</w:t>
              </w:r>
              <w:r w:rsidRPr="00F30F17">
                <w:rPr>
                  <w:rFonts w:ascii="宋体" w:hAnsi="宋体" w:cs="宋体" w:hint="eastAsia"/>
                  <w:b/>
                  <w:bCs/>
                  <w:color w:val="000000"/>
                  <w:kern w:val="0"/>
                  <w:szCs w:val="21"/>
                </w:rPr>
                <w:t>.1.1</w:t>
              </w:r>
            </w:smartTag>
            <w:r w:rsidRPr="00F30F17">
              <w:rPr>
                <w:rFonts w:ascii="宋体" w:hAnsi="宋体" w:cs="宋体" w:hint="eastAsia"/>
                <w:b/>
                <w:bCs/>
                <w:color w:val="000000"/>
                <w:kern w:val="0"/>
                <w:szCs w:val="21"/>
              </w:rPr>
              <w:t xml:space="preserve"> 自有、租用或委托现代物流仓库</w:t>
            </w:r>
            <w:r>
              <w:rPr>
                <w:rFonts w:ascii="宋体" w:hAnsi="宋体" w:cs="宋体" w:hint="eastAsia"/>
                <w:b/>
                <w:bCs/>
                <w:color w:val="000000"/>
                <w:kern w:val="0"/>
                <w:szCs w:val="21"/>
              </w:rPr>
              <w:t>10</w:t>
            </w:r>
            <w:r w:rsidRPr="00F30F17">
              <w:rPr>
                <w:rFonts w:ascii="宋体" w:hAnsi="宋体" w:cs="宋体" w:hint="eastAsia"/>
                <w:b/>
                <w:bCs/>
                <w:color w:val="000000"/>
                <w:kern w:val="0"/>
                <w:szCs w:val="21"/>
              </w:rPr>
              <w:t>000㎡以上（不包括办公、生活场所面积）</w:t>
            </w:r>
          </w:p>
        </w:tc>
        <w:tc>
          <w:tcPr>
            <w:tcW w:w="508" w:type="pct"/>
            <w:tcBorders>
              <w:top w:val="nil"/>
              <w:left w:val="single" w:sz="4" w:space="0" w:color="auto"/>
              <w:right w:val="single" w:sz="4" w:space="0" w:color="auto"/>
            </w:tcBorders>
            <w:shd w:val="clear" w:color="auto" w:fill="auto"/>
            <w:noWrap/>
            <w:vAlign w:val="center"/>
          </w:tcPr>
          <w:p w:rsidR="00FE0EA8" w:rsidRPr="00F30F17" w:rsidRDefault="00FE0EA8" w:rsidP="00164439">
            <w:pPr>
              <w:jc w:val="center"/>
              <w:rPr>
                <w:rFonts w:ascii="宋体" w:hAnsi="宋体" w:cs="宋体"/>
                <w:color w:val="000000"/>
                <w:kern w:val="0"/>
                <w:sz w:val="22"/>
                <w:szCs w:val="22"/>
              </w:rPr>
            </w:pPr>
            <w:r w:rsidRPr="00F30F17">
              <w:rPr>
                <w:rFonts w:ascii="宋体" w:hAnsi="宋体" w:cs="宋体" w:hint="eastAsia"/>
                <w:color w:val="000000"/>
                <w:kern w:val="0"/>
                <w:szCs w:val="21"/>
              </w:rPr>
              <w:t>查看房产证       或租赁协议            和现场审核</w:t>
            </w:r>
          </w:p>
        </w:tc>
        <w:tc>
          <w:tcPr>
            <w:tcW w:w="1402" w:type="pct"/>
            <w:tcBorders>
              <w:top w:val="nil"/>
              <w:left w:val="nil"/>
              <w:right w:val="single" w:sz="4" w:space="0" w:color="auto"/>
            </w:tcBorders>
            <w:shd w:val="clear" w:color="auto" w:fill="auto"/>
            <w:vAlign w:val="center"/>
          </w:tcPr>
          <w:p w:rsidR="00FE0EA8" w:rsidRPr="00F30F17" w:rsidRDefault="00FE0EA8" w:rsidP="00164439">
            <w:pPr>
              <w:rPr>
                <w:rFonts w:ascii="宋体" w:hAnsi="宋体" w:cs="宋体"/>
                <w:kern w:val="0"/>
                <w:szCs w:val="21"/>
              </w:rPr>
            </w:pPr>
            <w:r w:rsidRPr="00F30F17">
              <w:rPr>
                <w:rFonts w:ascii="宋体" w:hAnsi="宋体" w:cs="宋体" w:hint="eastAsia"/>
                <w:color w:val="000000"/>
                <w:kern w:val="0"/>
                <w:szCs w:val="21"/>
              </w:rPr>
              <w:t>自有、租用或委托现代物流配送的仓库面积</w:t>
            </w:r>
            <w:r>
              <w:rPr>
                <w:rFonts w:ascii="宋体" w:hAnsi="宋体" w:cs="宋体" w:hint="eastAsia"/>
                <w:color w:val="000000"/>
                <w:kern w:val="0"/>
                <w:szCs w:val="21"/>
              </w:rPr>
              <w:t>10</w:t>
            </w:r>
            <w:r w:rsidRPr="00F30F17">
              <w:rPr>
                <w:rFonts w:ascii="宋体" w:hAnsi="宋体" w:cs="宋体" w:hint="eastAsia"/>
                <w:color w:val="000000"/>
                <w:kern w:val="0"/>
                <w:szCs w:val="21"/>
              </w:rPr>
              <w:t>000㎡以上（不包括办公、生活场所面积）</w:t>
            </w:r>
          </w:p>
        </w:tc>
        <w:tc>
          <w:tcPr>
            <w:tcW w:w="151" w:type="pct"/>
            <w:tcBorders>
              <w:top w:val="nil"/>
              <w:left w:val="nil"/>
              <w:right w:val="single" w:sz="4" w:space="0" w:color="auto"/>
            </w:tcBorders>
            <w:shd w:val="clear" w:color="auto" w:fill="auto"/>
            <w:vAlign w:val="center"/>
          </w:tcPr>
          <w:p w:rsidR="00FE0EA8" w:rsidRPr="00F30F17" w:rsidRDefault="00FE0EA8" w:rsidP="00164439">
            <w:pPr>
              <w:widowControl/>
              <w:jc w:val="left"/>
              <w:rPr>
                <w:rFonts w:ascii="宋体" w:hAnsi="宋体" w:cs="宋体" w:hint="eastAsia"/>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right w:val="single" w:sz="4" w:space="0" w:color="auto"/>
            </w:tcBorders>
            <w:shd w:val="clear" w:color="000000" w:fill="FFFFFF"/>
            <w:vAlign w:val="center"/>
          </w:tcPr>
          <w:p w:rsidR="00FE0EA8" w:rsidRPr="00F30F17" w:rsidRDefault="00FE0EA8" w:rsidP="00164439">
            <w:pPr>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right w:val="single" w:sz="4" w:space="0" w:color="auto"/>
            </w:tcBorders>
            <w:shd w:val="clear" w:color="auto" w:fill="auto"/>
            <w:vAlign w:val="center"/>
          </w:tcPr>
          <w:p w:rsidR="00FE0EA8" w:rsidRPr="00F77B69" w:rsidRDefault="00FE0EA8" w:rsidP="00164439">
            <w:pPr>
              <w:widowControl/>
              <w:jc w:val="center"/>
              <w:rPr>
                <w:rFonts w:ascii="宋体" w:hAnsi="宋体" w:cs="宋体"/>
                <w:color w:val="000000"/>
                <w:kern w:val="0"/>
                <w:szCs w:val="21"/>
              </w:rPr>
            </w:pPr>
            <w:r w:rsidRPr="00F77B69">
              <w:rPr>
                <w:rFonts w:ascii="宋体" w:hAnsi="宋体" w:cs="宋体" w:hint="eastAsia"/>
                <w:color w:val="000000"/>
                <w:kern w:val="0"/>
                <w:szCs w:val="21"/>
              </w:rPr>
              <w:t>√</w:t>
            </w:r>
          </w:p>
        </w:tc>
        <w:tc>
          <w:tcPr>
            <w:tcW w:w="279" w:type="pct"/>
            <w:tcBorders>
              <w:top w:val="nil"/>
              <w:left w:val="nil"/>
              <w:right w:val="single" w:sz="4" w:space="0" w:color="auto"/>
            </w:tcBorders>
            <w:shd w:val="clear" w:color="auto" w:fill="auto"/>
            <w:vAlign w:val="center"/>
          </w:tcPr>
          <w:p w:rsidR="00FE0EA8" w:rsidRPr="00F30F17" w:rsidRDefault="00FE0EA8"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8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5</w:t>
              </w:r>
              <w:r w:rsidRPr="00F30F17">
                <w:rPr>
                  <w:rFonts w:ascii="宋体" w:hAnsi="宋体" w:cs="宋体" w:hint="eastAsia"/>
                  <w:b/>
                  <w:bCs/>
                  <w:color w:val="000000"/>
                  <w:kern w:val="0"/>
                  <w:szCs w:val="21"/>
                </w:rPr>
                <w:t>.1.2</w:t>
              </w:r>
            </w:smartTag>
            <w:r w:rsidRPr="00F30F17">
              <w:rPr>
                <w:rFonts w:ascii="宋体" w:hAnsi="宋体" w:cs="宋体" w:hint="eastAsia"/>
                <w:b/>
                <w:bCs/>
                <w:color w:val="000000"/>
                <w:kern w:val="0"/>
                <w:szCs w:val="21"/>
              </w:rPr>
              <w:t xml:space="preserve"> 明确库房的区域功能划分，库区应具有阴凉和常温分区，经营生物制品、疫苗必须具备冷藏库及相应冷链配套设施。其中冷库面积150㎡以上</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查看库房分布图和现场审核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1、应有不同功能的库房类型并有标识</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2、应具有符合药品温度属性的阴凉（2～</w:t>
            </w:r>
            <w:smartTag w:uri="urn:schemas-microsoft-com:office:smarttags" w:element="chmetcnv">
              <w:smartTagPr>
                <w:attr w:name="UnitName" w:val="℃"/>
                <w:attr w:name="SourceValue" w:val="20"/>
                <w:attr w:name="HasSpace" w:val="False"/>
                <w:attr w:name="Negative" w:val="False"/>
                <w:attr w:name="NumberType" w:val="1"/>
                <w:attr w:name="TCSC" w:val="0"/>
              </w:smartTagPr>
              <w:r w:rsidRPr="00F30F17">
                <w:rPr>
                  <w:rFonts w:ascii="宋体" w:hAnsi="宋体" w:cs="宋体" w:hint="eastAsia"/>
                  <w:color w:val="000000"/>
                  <w:kern w:val="0"/>
                  <w:szCs w:val="21"/>
                </w:rPr>
                <w:t>20℃</w:t>
              </w:r>
            </w:smartTag>
            <w:r w:rsidRPr="00F30F17">
              <w:rPr>
                <w:rFonts w:ascii="宋体" w:hAnsi="宋体" w:cs="宋体" w:hint="eastAsia"/>
                <w:color w:val="000000"/>
                <w:kern w:val="0"/>
                <w:szCs w:val="21"/>
              </w:rPr>
              <w:t>）和常温（2～</w:t>
            </w:r>
            <w:smartTag w:uri="urn:schemas-microsoft-com:office:smarttags" w:element="chmetcnv">
              <w:smartTagPr>
                <w:attr w:name="UnitName" w:val="℃"/>
                <w:attr w:name="SourceValue" w:val="30"/>
                <w:attr w:name="HasSpace" w:val="False"/>
                <w:attr w:name="Negative" w:val="False"/>
                <w:attr w:name="NumberType" w:val="1"/>
                <w:attr w:name="TCSC" w:val="0"/>
              </w:smartTagPr>
              <w:r w:rsidRPr="00F30F17">
                <w:rPr>
                  <w:rFonts w:ascii="宋体" w:hAnsi="宋体" w:cs="宋体" w:hint="eastAsia"/>
                  <w:color w:val="000000"/>
                  <w:kern w:val="0"/>
                  <w:szCs w:val="21"/>
                </w:rPr>
                <w:t>30℃</w:t>
              </w:r>
            </w:smartTag>
            <w:r w:rsidRPr="00F30F17">
              <w:rPr>
                <w:rFonts w:ascii="宋体" w:hAnsi="宋体" w:cs="宋体" w:hint="eastAsia"/>
                <w:color w:val="000000"/>
                <w:kern w:val="0"/>
                <w:szCs w:val="21"/>
              </w:rPr>
              <w:t>）库房（区）</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102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3、经营冷藏药品（含生物制品、疫苗）应配备相应的冷链设施设备（包括但不限于冷库、制冷机组、温湿度自动检测系统、冷藏车、包装材料、测温器具等）</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4、冷库温度应符合2～</w:t>
            </w:r>
            <w:smartTag w:uri="urn:schemas-microsoft-com:office:smarttags" w:element="chmetcnv">
              <w:smartTagPr>
                <w:attr w:name="UnitName" w:val="℃"/>
                <w:attr w:name="SourceValue" w:val="8"/>
                <w:attr w:name="HasSpace" w:val="False"/>
                <w:attr w:name="Negative" w:val="False"/>
                <w:attr w:name="NumberType" w:val="1"/>
                <w:attr w:name="TCSC" w:val="0"/>
              </w:smartTagPr>
              <w:r w:rsidRPr="00F30F17">
                <w:rPr>
                  <w:rFonts w:ascii="宋体" w:hAnsi="宋体" w:cs="宋体" w:hint="eastAsia"/>
                  <w:color w:val="000000"/>
                  <w:kern w:val="0"/>
                  <w:szCs w:val="21"/>
                </w:rPr>
                <w:t>8℃</w:t>
              </w:r>
            </w:smartTag>
            <w:r w:rsidRPr="00F30F17">
              <w:rPr>
                <w:rFonts w:ascii="宋体" w:hAnsi="宋体" w:cs="宋体" w:hint="eastAsia"/>
                <w:color w:val="000000"/>
                <w:kern w:val="0"/>
                <w:szCs w:val="21"/>
              </w:rPr>
              <w:t>,或按药品说明书规定的贮存温度要求；冷库面积不少于150㎡</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8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5、疫苗贮存应配备两个以上独立冷库</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6、冷库应配备备用发电机组或双路供电</w:t>
            </w:r>
            <w:r w:rsidRPr="00F30F17">
              <w:rPr>
                <w:rFonts w:ascii="宋体" w:hAnsi="宋体" w:cs="宋体" w:hint="eastAsia"/>
                <w:kern w:val="0"/>
                <w:szCs w:val="21"/>
              </w:rPr>
              <w:lastRenderedPageBreak/>
              <w:t>系统</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lastRenderedPageBreak/>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76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7、温湿度自动监测系统应具有实时和连续监测冷库温度、对温度异常自动报警、温度数据自动记录、备份等功能</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155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1562" w:type="pc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5</w:t>
              </w:r>
              <w:r w:rsidRPr="00F30F17">
                <w:rPr>
                  <w:rFonts w:ascii="宋体" w:hAnsi="宋体" w:cs="宋体" w:hint="eastAsia"/>
                  <w:b/>
                  <w:bCs/>
                  <w:color w:val="000000"/>
                  <w:kern w:val="0"/>
                  <w:szCs w:val="21"/>
                </w:rPr>
                <w:t>.1.1</w:t>
              </w:r>
            </w:smartTag>
            <w:r w:rsidRPr="00F30F17">
              <w:rPr>
                <w:rFonts w:ascii="宋体" w:hAnsi="宋体" w:cs="宋体" w:hint="eastAsia"/>
                <w:b/>
                <w:bCs/>
                <w:color w:val="000000"/>
                <w:kern w:val="0"/>
                <w:szCs w:val="21"/>
              </w:rPr>
              <w:t xml:space="preserve"> 自有、租用或委托现代物流仓库</w:t>
            </w:r>
            <w:r>
              <w:rPr>
                <w:rFonts w:ascii="宋体" w:hAnsi="宋体" w:cs="宋体" w:hint="eastAsia"/>
                <w:b/>
                <w:bCs/>
                <w:color w:val="000000"/>
                <w:kern w:val="0"/>
                <w:szCs w:val="21"/>
              </w:rPr>
              <w:t>15</w:t>
            </w:r>
            <w:r w:rsidRPr="00F30F17">
              <w:rPr>
                <w:rFonts w:ascii="宋体" w:hAnsi="宋体" w:cs="宋体" w:hint="eastAsia"/>
                <w:b/>
                <w:bCs/>
                <w:color w:val="000000"/>
                <w:kern w:val="0"/>
                <w:szCs w:val="21"/>
              </w:rPr>
              <w:t>000㎡以上（不包括办公、生活场所面积）</w:t>
            </w:r>
          </w:p>
        </w:tc>
        <w:tc>
          <w:tcPr>
            <w:tcW w:w="508" w:type="pct"/>
            <w:tcBorders>
              <w:top w:val="nil"/>
              <w:left w:val="single" w:sz="4" w:space="0" w:color="auto"/>
              <w:right w:val="single" w:sz="4" w:space="0" w:color="auto"/>
            </w:tcBorders>
            <w:shd w:val="clear" w:color="auto" w:fill="auto"/>
            <w:noWrap/>
            <w:vAlign w:val="center"/>
          </w:tcPr>
          <w:p w:rsidR="00FE0EA8" w:rsidRPr="00F30F17" w:rsidRDefault="00FE0EA8" w:rsidP="00164439">
            <w:pPr>
              <w:jc w:val="center"/>
              <w:rPr>
                <w:rFonts w:ascii="宋体" w:hAnsi="宋体" w:cs="宋体" w:hint="eastAsia"/>
                <w:color w:val="000000"/>
                <w:kern w:val="0"/>
                <w:sz w:val="22"/>
                <w:szCs w:val="22"/>
              </w:rPr>
            </w:pPr>
            <w:r w:rsidRPr="00F30F17">
              <w:rPr>
                <w:rFonts w:ascii="宋体" w:hAnsi="宋体" w:cs="宋体" w:hint="eastAsia"/>
                <w:color w:val="000000"/>
                <w:kern w:val="0"/>
                <w:szCs w:val="21"/>
              </w:rPr>
              <w:t>查看房产证       或租赁协议            和现场审核</w:t>
            </w:r>
          </w:p>
        </w:tc>
        <w:tc>
          <w:tcPr>
            <w:tcW w:w="1402" w:type="pct"/>
            <w:tcBorders>
              <w:top w:val="nil"/>
              <w:left w:val="nil"/>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自有、租用或委托现代物流配送的仓库面积</w:t>
            </w:r>
            <w:r>
              <w:rPr>
                <w:rFonts w:ascii="宋体" w:hAnsi="宋体" w:cs="宋体" w:hint="eastAsia"/>
                <w:color w:val="000000"/>
                <w:kern w:val="0"/>
                <w:szCs w:val="21"/>
              </w:rPr>
              <w:t>15</w:t>
            </w:r>
            <w:r w:rsidRPr="00F30F17">
              <w:rPr>
                <w:rFonts w:ascii="宋体" w:hAnsi="宋体" w:cs="宋体" w:hint="eastAsia"/>
                <w:color w:val="000000"/>
                <w:kern w:val="0"/>
                <w:szCs w:val="21"/>
              </w:rPr>
              <w:t>000㎡以上（不包括办公、生活场所面积）</w:t>
            </w:r>
          </w:p>
        </w:tc>
        <w:tc>
          <w:tcPr>
            <w:tcW w:w="151" w:type="pct"/>
            <w:tcBorders>
              <w:top w:val="nil"/>
              <w:left w:val="nil"/>
              <w:right w:val="single" w:sz="4" w:space="0" w:color="auto"/>
            </w:tcBorders>
            <w:shd w:val="clear" w:color="auto" w:fill="auto"/>
            <w:vAlign w:val="center"/>
          </w:tcPr>
          <w:p w:rsidR="00FE0EA8" w:rsidRPr="00F30F17" w:rsidRDefault="00FE0EA8" w:rsidP="00164439">
            <w:pPr>
              <w:widowControl/>
              <w:jc w:val="left"/>
              <w:rPr>
                <w:rFonts w:ascii="宋体" w:hAnsi="宋体" w:cs="宋体" w:hint="eastAsia"/>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right w:val="single" w:sz="4" w:space="0" w:color="auto"/>
            </w:tcBorders>
            <w:shd w:val="clear" w:color="000000" w:fill="FFFFFF"/>
            <w:vAlign w:val="center"/>
          </w:tcPr>
          <w:p w:rsidR="00FE0EA8" w:rsidRPr="00F30F17" w:rsidRDefault="00FE0EA8" w:rsidP="00164439">
            <w:pPr>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right w:val="single" w:sz="4" w:space="0" w:color="auto"/>
            </w:tcBorders>
            <w:shd w:val="clear" w:color="000000" w:fill="FFFFFF"/>
            <w:vAlign w:val="center"/>
          </w:tcPr>
          <w:p w:rsidR="00FE0EA8" w:rsidRPr="00F30F17" w:rsidRDefault="00FE0EA8" w:rsidP="00164439">
            <w:pPr>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79" w:type="pct"/>
            <w:tcBorders>
              <w:top w:val="nil"/>
              <w:left w:val="nil"/>
              <w:right w:val="single" w:sz="4" w:space="0" w:color="auto"/>
            </w:tcBorders>
            <w:shd w:val="clear" w:color="auto" w:fill="auto"/>
            <w:vAlign w:val="center"/>
          </w:tcPr>
          <w:p w:rsidR="00FE0EA8" w:rsidRPr="00F30F17" w:rsidRDefault="00FE0EA8"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right w:val="single" w:sz="8" w:space="0" w:color="auto"/>
            </w:tcBorders>
            <w:shd w:val="clear" w:color="auto" w:fill="auto"/>
            <w:noWrap/>
            <w:vAlign w:val="center"/>
          </w:tcPr>
          <w:p w:rsidR="00FE0EA8" w:rsidRPr="00F30F17" w:rsidRDefault="00FE0EA8" w:rsidP="00164439">
            <w:pPr>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8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b/>
                  <w:bCs/>
                  <w:color w:val="000000"/>
                  <w:kern w:val="0"/>
                  <w:szCs w:val="21"/>
                </w:rPr>
                <w:t>5</w:t>
              </w:r>
              <w:r w:rsidRPr="00F30F17">
                <w:rPr>
                  <w:rFonts w:ascii="宋体" w:hAnsi="宋体" w:cs="宋体" w:hint="eastAsia"/>
                  <w:b/>
                  <w:bCs/>
                  <w:color w:val="000000"/>
                  <w:kern w:val="0"/>
                  <w:szCs w:val="21"/>
                </w:rPr>
                <w:t>.1.2</w:t>
              </w:r>
            </w:smartTag>
            <w:r w:rsidRPr="00F30F17">
              <w:rPr>
                <w:rFonts w:ascii="宋体" w:hAnsi="宋体" w:cs="宋体" w:hint="eastAsia"/>
                <w:b/>
                <w:bCs/>
                <w:color w:val="000000"/>
                <w:kern w:val="0"/>
                <w:szCs w:val="21"/>
              </w:rPr>
              <w:t xml:space="preserve"> 明确库房的区域功能划分，库区应具有阴凉和常温分区，经营生物制品、疫苗必须具备冷藏库及相应冷链配套设施。冷库面积300㎡以上</w:t>
            </w:r>
            <w:r>
              <w:rPr>
                <w:rFonts w:ascii="宋体" w:hAnsi="宋体" w:cs="宋体" w:hint="eastAsia"/>
                <w:b/>
                <w:bCs/>
                <w:color w:val="000000"/>
                <w:kern w:val="0"/>
                <w:szCs w:val="21"/>
              </w:rPr>
              <w:t xml:space="preserve"> </w:t>
            </w:r>
            <w:r w:rsidRPr="00F30F17">
              <w:rPr>
                <w:rFonts w:ascii="宋体" w:hAnsi="宋体" w:cs="宋体" w:hint="eastAsia"/>
                <w:b/>
                <w:bCs/>
                <w:color w:val="000000"/>
                <w:kern w:val="0"/>
                <w:szCs w:val="21"/>
              </w:rPr>
              <w:t xml:space="preserve">                  </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查看库房分布图和现场审核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1、应有不同功能的库房类型并有标识</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2、应具有符合药品温度属性的阴凉（2～</w:t>
            </w:r>
            <w:smartTag w:uri="urn:schemas-microsoft-com:office:smarttags" w:element="chmetcnv">
              <w:smartTagPr>
                <w:attr w:name="UnitName" w:val="℃"/>
                <w:attr w:name="SourceValue" w:val="20"/>
                <w:attr w:name="HasSpace" w:val="False"/>
                <w:attr w:name="Negative" w:val="False"/>
                <w:attr w:name="NumberType" w:val="1"/>
                <w:attr w:name="TCSC" w:val="0"/>
              </w:smartTagPr>
              <w:r w:rsidRPr="00F30F17">
                <w:rPr>
                  <w:rFonts w:ascii="宋体" w:hAnsi="宋体" w:cs="宋体" w:hint="eastAsia"/>
                  <w:color w:val="000000"/>
                  <w:kern w:val="0"/>
                  <w:szCs w:val="21"/>
                </w:rPr>
                <w:t>20℃</w:t>
              </w:r>
            </w:smartTag>
            <w:r w:rsidRPr="00F30F17">
              <w:rPr>
                <w:rFonts w:ascii="宋体" w:hAnsi="宋体" w:cs="宋体" w:hint="eastAsia"/>
                <w:color w:val="000000"/>
                <w:kern w:val="0"/>
                <w:szCs w:val="21"/>
              </w:rPr>
              <w:t>）和常温（2～</w:t>
            </w:r>
            <w:smartTag w:uri="urn:schemas-microsoft-com:office:smarttags" w:element="chmetcnv">
              <w:smartTagPr>
                <w:attr w:name="UnitName" w:val="℃"/>
                <w:attr w:name="SourceValue" w:val="30"/>
                <w:attr w:name="HasSpace" w:val="False"/>
                <w:attr w:name="Negative" w:val="False"/>
                <w:attr w:name="NumberType" w:val="1"/>
                <w:attr w:name="TCSC" w:val="0"/>
              </w:smartTagPr>
              <w:r w:rsidRPr="00F30F17">
                <w:rPr>
                  <w:rFonts w:ascii="宋体" w:hAnsi="宋体" w:cs="宋体" w:hint="eastAsia"/>
                  <w:color w:val="000000"/>
                  <w:kern w:val="0"/>
                  <w:szCs w:val="21"/>
                </w:rPr>
                <w:t>30℃</w:t>
              </w:r>
            </w:smartTag>
            <w:r w:rsidRPr="00F30F17">
              <w:rPr>
                <w:rFonts w:ascii="宋体" w:hAnsi="宋体" w:cs="宋体" w:hint="eastAsia"/>
                <w:color w:val="000000"/>
                <w:kern w:val="0"/>
                <w:szCs w:val="21"/>
              </w:rPr>
              <w:t>）库房（区）</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102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3、经营冷藏药品（含生物制品、疫苗）应配备相应的冷链设施设备（包括但不限于冷库、制冷机组、温湿度自动检测系统、冷藏车、包装材料、测温器具等）</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4、冷库温度应符合2～</w:t>
            </w:r>
            <w:smartTag w:uri="urn:schemas-microsoft-com:office:smarttags" w:element="chmetcnv">
              <w:smartTagPr>
                <w:attr w:name="UnitName" w:val="℃"/>
                <w:attr w:name="SourceValue" w:val="8"/>
                <w:attr w:name="HasSpace" w:val="False"/>
                <w:attr w:name="Negative" w:val="False"/>
                <w:attr w:name="NumberType" w:val="1"/>
                <w:attr w:name="TCSC" w:val="0"/>
              </w:smartTagPr>
              <w:r w:rsidRPr="00F30F17">
                <w:rPr>
                  <w:rFonts w:ascii="宋体" w:hAnsi="宋体" w:cs="宋体" w:hint="eastAsia"/>
                  <w:color w:val="000000"/>
                  <w:kern w:val="0"/>
                  <w:szCs w:val="21"/>
                </w:rPr>
                <w:t>8℃</w:t>
              </w:r>
            </w:smartTag>
            <w:r w:rsidRPr="00F30F17">
              <w:rPr>
                <w:rFonts w:ascii="宋体" w:hAnsi="宋体" w:cs="宋体" w:hint="eastAsia"/>
                <w:color w:val="000000"/>
                <w:kern w:val="0"/>
                <w:szCs w:val="21"/>
              </w:rPr>
              <w:t>,或按药品说明书规定的贮存温度要求；冷库面积不少于300㎡</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5、疫苗贮存应配备两个以上独立冷库</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 xml:space="preserve">　</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8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6、冷库应配备备用发电机组或双路供电系统</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103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7、温湿度自动监测系统应具有实时和连续监测冷库温度、对温度异常自动报警、温度数据自动记录、备份等功能</w:t>
            </w:r>
          </w:p>
        </w:tc>
        <w:tc>
          <w:tcPr>
            <w:tcW w:w="151"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178"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76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.3</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专门从事中药材（饮片）经营的企业，自有或租用仓库常温库10000 ㎡以上（不包括办公、生活场所面积</w:t>
            </w:r>
            <w:r>
              <w:rPr>
                <w:rFonts w:ascii="宋体" w:hAnsi="宋体" w:cs="宋体" w:hint="eastAsia"/>
                <w:b/>
                <w:bCs/>
                <w:color w:val="000000"/>
                <w:kern w:val="0"/>
                <w:szCs w:val="21"/>
              </w:rPr>
              <w:t>）</w:t>
            </w:r>
            <w:r w:rsidRPr="00F30F17">
              <w:rPr>
                <w:rFonts w:ascii="宋体" w:hAnsi="宋体" w:cs="宋体" w:hint="eastAsia"/>
                <w:b/>
                <w:bCs/>
                <w:color w:val="000000"/>
                <w:kern w:val="0"/>
                <w:szCs w:val="21"/>
              </w:rPr>
              <w:t>；</w:t>
            </w:r>
            <w:proofErr w:type="gramStart"/>
            <w:r w:rsidRPr="00F30F17">
              <w:rPr>
                <w:rFonts w:ascii="宋体" w:hAnsi="宋体" w:cs="宋体" w:hint="eastAsia"/>
                <w:b/>
                <w:bCs/>
                <w:color w:val="000000"/>
                <w:kern w:val="0"/>
                <w:szCs w:val="21"/>
              </w:rPr>
              <w:t>阴凉库</w:t>
            </w:r>
            <w:proofErr w:type="gramEnd"/>
            <w:r w:rsidRPr="00F30F17">
              <w:rPr>
                <w:rFonts w:ascii="宋体" w:hAnsi="宋体" w:cs="宋体" w:hint="eastAsia"/>
                <w:b/>
                <w:bCs/>
                <w:color w:val="000000"/>
                <w:kern w:val="0"/>
                <w:szCs w:val="21"/>
              </w:rPr>
              <w:t>1000 ㎡以上</w:t>
            </w: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查看房产证      或租赁协议             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1、自有或租用的常温库房面积不少于10000 ㎡（不包括办公、生活场所面积）</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查看库房分布图和现场审核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2、应具有符合药品温度属性的库房类型并有标识</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3、</w:t>
            </w:r>
            <w:proofErr w:type="gramStart"/>
            <w:r w:rsidRPr="00F30F17">
              <w:rPr>
                <w:rFonts w:ascii="宋体" w:hAnsi="宋体" w:cs="宋体" w:hint="eastAsia"/>
                <w:color w:val="000000"/>
                <w:kern w:val="0"/>
                <w:szCs w:val="21"/>
              </w:rPr>
              <w:t>阴凉库</w:t>
            </w:r>
            <w:proofErr w:type="gramEnd"/>
            <w:r w:rsidRPr="00F30F17">
              <w:rPr>
                <w:rFonts w:ascii="宋体" w:hAnsi="宋体" w:cs="宋体" w:hint="eastAsia"/>
                <w:color w:val="000000"/>
                <w:kern w:val="0"/>
                <w:szCs w:val="21"/>
              </w:rPr>
              <w:t>温度符合（2～</w:t>
            </w:r>
            <w:smartTag w:uri="urn:schemas-microsoft-com:office:smarttags" w:element="chmetcnv">
              <w:smartTagPr>
                <w:attr w:name="UnitName" w:val="℃"/>
                <w:attr w:name="SourceValue" w:val="20"/>
                <w:attr w:name="HasSpace" w:val="False"/>
                <w:attr w:name="Negative" w:val="False"/>
                <w:attr w:name="NumberType" w:val="1"/>
                <w:attr w:name="TCSC" w:val="0"/>
              </w:smartTagPr>
              <w:r w:rsidRPr="00F30F17">
                <w:rPr>
                  <w:rFonts w:ascii="宋体" w:hAnsi="宋体" w:cs="宋体" w:hint="eastAsia"/>
                  <w:color w:val="000000"/>
                  <w:kern w:val="0"/>
                  <w:szCs w:val="21"/>
                </w:rPr>
                <w:t>20℃</w:t>
              </w:r>
            </w:smartTag>
            <w:r w:rsidRPr="00F30F17">
              <w:rPr>
                <w:rFonts w:ascii="宋体" w:hAnsi="宋体" w:cs="宋体" w:hint="eastAsia"/>
                <w:color w:val="000000"/>
                <w:kern w:val="0"/>
                <w:szCs w:val="21"/>
              </w:rPr>
              <w:t>）、常温库温度符合（2～</w:t>
            </w:r>
            <w:smartTag w:uri="urn:schemas-microsoft-com:office:smarttags" w:element="chmetcnv">
              <w:smartTagPr>
                <w:attr w:name="UnitName" w:val="℃"/>
                <w:attr w:name="SourceValue" w:val="30"/>
                <w:attr w:name="HasSpace" w:val="False"/>
                <w:attr w:name="Negative" w:val="False"/>
                <w:attr w:name="NumberType" w:val="1"/>
                <w:attr w:name="TCSC" w:val="0"/>
              </w:smartTagPr>
              <w:r w:rsidRPr="00F30F17">
                <w:rPr>
                  <w:rFonts w:ascii="宋体" w:hAnsi="宋体" w:cs="宋体" w:hint="eastAsia"/>
                  <w:color w:val="000000"/>
                  <w:kern w:val="0"/>
                  <w:szCs w:val="21"/>
                </w:rPr>
                <w:t>30℃</w:t>
              </w:r>
            </w:smartTag>
            <w:r w:rsidRPr="00F30F17">
              <w:rPr>
                <w:rFonts w:ascii="宋体" w:hAnsi="宋体" w:cs="宋体" w:hint="eastAsia"/>
                <w:color w:val="000000"/>
                <w:kern w:val="0"/>
                <w:szCs w:val="21"/>
              </w:rPr>
              <w:t>）</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4、</w:t>
            </w:r>
            <w:proofErr w:type="gramStart"/>
            <w:r w:rsidRPr="00F30F17">
              <w:rPr>
                <w:rFonts w:ascii="宋体" w:hAnsi="宋体" w:cs="宋体" w:hint="eastAsia"/>
                <w:color w:val="000000"/>
                <w:kern w:val="0"/>
                <w:szCs w:val="21"/>
              </w:rPr>
              <w:t>阴凉库</w:t>
            </w:r>
            <w:proofErr w:type="gramEnd"/>
            <w:r w:rsidRPr="00F30F17">
              <w:rPr>
                <w:rFonts w:ascii="宋体" w:hAnsi="宋体" w:cs="宋体" w:hint="eastAsia"/>
                <w:color w:val="000000"/>
                <w:kern w:val="0"/>
                <w:szCs w:val="21"/>
              </w:rPr>
              <w:t>面积不少于1000 ㎡</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5、中药材（饮片）应设置品种样本室（柜）</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76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nil"/>
              <w:left w:val="single" w:sz="4"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.3</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专门从事中药材（饮片）经营的企业，自有或租用仓库常温库15000 ㎡以上（不包括办公、生活场所面积）；</w:t>
            </w:r>
            <w:proofErr w:type="gramStart"/>
            <w:r w:rsidRPr="00F30F17">
              <w:rPr>
                <w:rFonts w:ascii="宋体" w:hAnsi="宋体" w:cs="宋体" w:hint="eastAsia"/>
                <w:b/>
                <w:bCs/>
                <w:color w:val="000000"/>
                <w:kern w:val="0"/>
                <w:szCs w:val="21"/>
              </w:rPr>
              <w:t>阴凉库</w:t>
            </w:r>
            <w:proofErr w:type="gramEnd"/>
            <w:r w:rsidRPr="00F30F17">
              <w:rPr>
                <w:rFonts w:ascii="宋体" w:hAnsi="宋体" w:cs="宋体" w:hint="eastAsia"/>
                <w:b/>
                <w:bCs/>
                <w:color w:val="000000"/>
                <w:kern w:val="0"/>
                <w:szCs w:val="21"/>
              </w:rPr>
              <w:t>2000 ㎡以上</w:t>
            </w: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查看房产证      或租赁协议             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1、自有或租用的仓库面积不少于15000 ㎡（不包括办公、生活场所面积）</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查看库房分布图和现场审核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2、应具有符合药品温度属性的库房类型并有标识</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3、</w:t>
            </w:r>
            <w:proofErr w:type="gramStart"/>
            <w:r w:rsidRPr="00F30F17">
              <w:rPr>
                <w:rFonts w:ascii="宋体" w:hAnsi="宋体" w:cs="宋体" w:hint="eastAsia"/>
                <w:color w:val="000000"/>
                <w:kern w:val="0"/>
                <w:szCs w:val="21"/>
              </w:rPr>
              <w:t>阴凉库</w:t>
            </w:r>
            <w:proofErr w:type="gramEnd"/>
            <w:r w:rsidRPr="00F30F17">
              <w:rPr>
                <w:rFonts w:ascii="宋体" w:hAnsi="宋体" w:cs="宋体" w:hint="eastAsia"/>
                <w:color w:val="000000"/>
                <w:kern w:val="0"/>
                <w:szCs w:val="21"/>
              </w:rPr>
              <w:t>温度符合（2～</w:t>
            </w:r>
            <w:smartTag w:uri="urn:schemas-microsoft-com:office:smarttags" w:element="chmetcnv">
              <w:smartTagPr>
                <w:attr w:name="UnitName" w:val="℃"/>
                <w:attr w:name="SourceValue" w:val="20"/>
                <w:attr w:name="HasSpace" w:val="False"/>
                <w:attr w:name="Negative" w:val="False"/>
                <w:attr w:name="NumberType" w:val="1"/>
                <w:attr w:name="TCSC" w:val="0"/>
              </w:smartTagPr>
              <w:r w:rsidRPr="00F30F17">
                <w:rPr>
                  <w:rFonts w:ascii="宋体" w:hAnsi="宋体" w:cs="宋体" w:hint="eastAsia"/>
                  <w:color w:val="000000"/>
                  <w:kern w:val="0"/>
                  <w:szCs w:val="21"/>
                </w:rPr>
                <w:t>20℃</w:t>
              </w:r>
            </w:smartTag>
            <w:r w:rsidRPr="00F30F17">
              <w:rPr>
                <w:rFonts w:ascii="宋体" w:hAnsi="宋体" w:cs="宋体" w:hint="eastAsia"/>
                <w:color w:val="000000"/>
                <w:kern w:val="0"/>
                <w:szCs w:val="21"/>
              </w:rPr>
              <w:t>）、常温库温度符合（2～</w:t>
            </w:r>
            <w:smartTag w:uri="urn:schemas-microsoft-com:office:smarttags" w:element="chmetcnv">
              <w:smartTagPr>
                <w:attr w:name="UnitName" w:val="℃"/>
                <w:attr w:name="SourceValue" w:val="30"/>
                <w:attr w:name="HasSpace" w:val="False"/>
                <w:attr w:name="Negative" w:val="False"/>
                <w:attr w:name="NumberType" w:val="1"/>
                <w:attr w:name="TCSC" w:val="0"/>
              </w:smartTagPr>
              <w:r w:rsidRPr="00F30F17">
                <w:rPr>
                  <w:rFonts w:ascii="宋体" w:hAnsi="宋体" w:cs="宋体" w:hint="eastAsia"/>
                  <w:color w:val="000000"/>
                  <w:kern w:val="0"/>
                  <w:szCs w:val="21"/>
                </w:rPr>
                <w:t>30℃</w:t>
              </w:r>
            </w:smartTag>
            <w:r w:rsidRPr="00F30F17">
              <w:rPr>
                <w:rFonts w:ascii="宋体" w:hAnsi="宋体" w:cs="宋体" w:hint="eastAsia"/>
                <w:color w:val="000000"/>
                <w:kern w:val="0"/>
                <w:szCs w:val="21"/>
              </w:rPr>
              <w:t>）</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4、</w:t>
            </w:r>
            <w:proofErr w:type="gramStart"/>
            <w:r w:rsidRPr="00F30F17">
              <w:rPr>
                <w:rFonts w:ascii="宋体" w:hAnsi="宋体" w:cs="宋体" w:hint="eastAsia"/>
                <w:color w:val="000000"/>
                <w:kern w:val="0"/>
                <w:szCs w:val="21"/>
              </w:rPr>
              <w:t>阴凉库</w:t>
            </w:r>
            <w:proofErr w:type="gramEnd"/>
            <w:r w:rsidRPr="00F30F17">
              <w:rPr>
                <w:rFonts w:ascii="宋体" w:hAnsi="宋体" w:cs="宋体" w:hint="eastAsia"/>
                <w:color w:val="000000"/>
                <w:kern w:val="0"/>
                <w:szCs w:val="21"/>
              </w:rPr>
              <w:t>面积不少于2000㎡</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5、中药材（饮片）应设置品种样本室（柜）</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765"/>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.3</w:t>
            </w:r>
          </w:p>
        </w:tc>
        <w:tc>
          <w:tcPr>
            <w:tcW w:w="1562"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left"/>
              <w:rPr>
                <w:rFonts w:ascii="宋体" w:hAnsi="宋体" w:cs="宋体"/>
                <w:b/>
                <w:bCs/>
                <w:color w:val="000000"/>
                <w:kern w:val="0"/>
                <w:szCs w:val="21"/>
              </w:rPr>
            </w:pPr>
            <w:r w:rsidRPr="00F30F17">
              <w:rPr>
                <w:rFonts w:ascii="宋体" w:hAnsi="宋体" w:cs="宋体" w:hint="eastAsia"/>
                <w:b/>
                <w:bCs/>
                <w:color w:val="000000"/>
                <w:kern w:val="0"/>
                <w:szCs w:val="21"/>
              </w:rPr>
              <w:t>专门从事中药材（饮片）经营的企业，自有或租用仓库常温库30000 ㎡以上（不包括办公、生活场所面积）；</w:t>
            </w:r>
            <w:proofErr w:type="gramStart"/>
            <w:r w:rsidRPr="00F30F17">
              <w:rPr>
                <w:rFonts w:ascii="宋体" w:hAnsi="宋体" w:cs="宋体" w:hint="eastAsia"/>
                <w:b/>
                <w:bCs/>
                <w:color w:val="000000"/>
                <w:kern w:val="0"/>
                <w:szCs w:val="21"/>
              </w:rPr>
              <w:t>阴凉库</w:t>
            </w:r>
            <w:proofErr w:type="gramEnd"/>
            <w:r w:rsidRPr="00F30F17">
              <w:rPr>
                <w:rFonts w:ascii="宋体" w:hAnsi="宋体" w:cs="宋体" w:hint="eastAsia"/>
                <w:b/>
                <w:bCs/>
                <w:color w:val="000000"/>
                <w:kern w:val="0"/>
                <w:szCs w:val="21"/>
              </w:rPr>
              <w:t>4000 ㎡以上</w:t>
            </w: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查看房产证      或租赁协议             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1、自有或租用的仓库面积不少于30000 ㎡（不包括办公、生活场所面积）</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val="restart"/>
            <w:tcBorders>
              <w:top w:val="nil"/>
              <w:left w:val="single" w:sz="4" w:space="0" w:color="auto"/>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查看库房分布图和现场审核</w:t>
            </w: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2、应具有符合药品温度属性的库房类型并有标识</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51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3、</w:t>
            </w:r>
            <w:proofErr w:type="gramStart"/>
            <w:r w:rsidRPr="00F30F17">
              <w:rPr>
                <w:rFonts w:ascii="宋体" w:hAnsi="宋体" w:cs="宋体" w:hint="eastAsia"/>
                <w:color w:val="000000"/>
                <w:kern w:val="0"/>
                <w:szCs w:val="21"/>
              </w:rPr>
              <w:t>阴凉库</w:t>
            </w:r>
            <w:proofErr w:type="gramEnd"/>
            <w:r w:rsidRPr="00F30F17">
              <w:rPr>
                <w:rFonts w:ascii="宋体" w:hAnsi="宋体" w:cs="宋体" w:hint="eastAsia"/>
                <w:color w:val="000000"/>
                <w:kern w:val="0"/>
                <w:szCs w:val="21"/>
              </w:rPr>
              <w:t>温度符合（2～</w:t>
            </w:r>
            <w:smartTag w:uri="urn:schemas-microsoft-com:office:smarttags" w:element="chmetcnv">
              <w:smartTagPr>
                <w:attr w:name="UnitName" w:val="℃"/>
                <w:attr w:name="SourceValue" w:val="20"/>
                <w:attr w:name="HasSpace" w:val="False"/>
                <w:attr w:name="Negative" w:val="False"/>
                <w:attr w:name="NumberType" w:val="1"/>
                <w:attr w:name="TCSC" w:val="0"/>
              </w:smartTagPr>
              <w:r w:rsidRPr="00F30F17">
                <w:rPr>
                  <w:rFonts w:ascii="宋体" w:hAnsi="宋体" w:cs="宋体" w:hint="eastAsia"/>
                  <w:color w:val="000000"/>
                  <w:kern w:val="0"/>
                  <w:szCs w:val="21"/>
                </w:rPr>
                <w:t>20℃</w:t>
              </w:r>
            </w:smartTag>
            <w:r w:rsidRPr="00F30F17">
              <w:rPr>
                <w:rFonts w:ascii="宋体" w:hAnsi="宋体" w:cs="宋体" w:hint="eastAsia"/>
                <w:color w:val="000000"/>
                <w:kern w:val="0"/>
                <w:szCs w:val="21"/>
              </w:rPr>
              <w:t>）、常温库温度符合（2～</w:t>
            </w:r>
            <w:smartTag w:uri="urn:schemas-microsoft-com:office:smarttags" w:element="chmetcnv">
              <w:smartTagPr>
                <w:attr w:name="UnitName" w:val="℃"/>
                <w:attr w:name="SourceValue" w:val="30"/>
                <w:attr w:name="HasSpace" w:val="False"/>
                <w:attr w:name="Negative" w:val="False"/>
                <w:attr w:name="NumberType" w:val="1"/>
                <w:attr w:name="TCSC" w:val="0"/>
              </w:smartTagPr>
              <w:r w:rsidRPr="00F30F17">
                <w:rPr>
                  <w:rFonts w:ascii="宋体" w:hAnsi="宋体" w:cs="宋体" w:hint="eastAsia"/>
                  <w:color w:val="000000"/>
                  <w:kern w:val="0"/>
                  <w:szCs w:val="21"/>
                </w:rPr>
                <w:t>30℃</w:t>
              </w:r>
            </w:smartTag>
            <w:r w:rsidRPr="00F30F17">
              <w:rPr>
                <w:rFonts w:ascii="宋体" w:hAnsi="宋体" w:cs="宋体" w:hint="eastAsia"/>
                <w:color w:val="000000"/>
                <w:kern w:val="0"/>
                <w:szCs w:val="21"/>
              </w:rPr>
              <w:t>）</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4、</w:t>
            </w:r>
            <w:proofErr w:type="gramStart"/>
            <w:r w:rsidRPr="00F30F17">
              <w:rPr>
                <w:rFonts w:ascii="宋体" w:hAnsi="宋体" w:cs="宋体" w:hint="eastAsia"/>
                <w:kern w:val="0"/>
                <w:szCs w:val="21"/>
              </w:rPr>
              <w:t>阴凉库</w:t>
            </w:r>
            <w:proofErr w:type="gramEnd"/>
            <w:r w:rsidRPr="00F30F17">
              <w:rPr>
                <w:rFonts w:ascii="宋体" w:hAnsi="宋体" w:cs="宋体" w:hint="eastAsia"/>
                <w:kern w:val="0"/>
                <w:szCs w:val="21"/>
              </w:rPr>
              <w:t>面积不少于4000㎡</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vMerge/>
            <w:tcBorders>
              <w:top w:val="nil"/>
              <w:left w:val="single" w:sz="8"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313"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562"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b/>
                <w:bCs/>
                <w:color w:val="000000"/>
                <w:kern w:val="0"/>
                <w:szCs w:val="21"/>
              </w:rPr>
            </w:pPr>
          </w:p>
        </w:tc>
        <w:tc>
          <w:tcPr>
            <w:tcW w:w="508" w:type="pct"/>
            <w:vMerge/>
            <w:tcBorders>
              <w:top w:val="nil"/>
              <w:left w:val="single" w:sz="4" w:space="0" w:color="auto"/>
              <w:bottom w:val="single" w:sz="4" w:space="0" w:color="auto"/>
              <w:right w:val="single" w:sz="4" w:space="0" w:color="auto"/>
            </w:tcBorders>
            <w:vAlign w:val="center"/>
          </w:tcPr>
          <w:p w:rsidR="00FE0EA8" w:rsidRPr="00F30F17" w:rsidRDefault="00FE0EA8" w:rsidP="00164439">
            <w:pPr>
              <w:widowControl/>
              <w:jc w:val="left"/>
              <w:rPr>
                <w:rFonts w:ascii="宋体" w:hAnsi="宋体" w:cs="宋体"/>
                <w:color w:val="000000"/>
                <w:kern w:val="0"/>
                <w:szCs w:val="21"/>
              </w:rPr>
            </w:pPr>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kern w:val="0"/>
                <w:szCs w:val="21"/>
              </w:rPr>
            </w:pPr>
            <w:r w:rsidRPr="00F30F17">
              <w:rPr>
                <w:rFonts w:ascii="宋体" w:hAnsi="宋体" w:cs="宋体" w:hint="eastAsia"/>
                <w:kern w:val="0"/>
                <w:szCs w:val="21"/>
              </w:rPr>
              <w:t>5、中药材（饮片）应设置品种样本室（柜）</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613"/>
        </w:trPr>
        <w:tc>
          <w:tcPr>
            <w:tcW w:w="234" w:type="pct"/>
            <w:tcBorders>
              <w:top w:val="nil"/>
              <w:left w:val="single" w:sz="8" w:space="0" w:color="auto"/>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物流</w:t>
            </w:r>
            <w:r>
              <w:rPr>
                <w:rFonts w:ascii="宋体" w:hAnsi="宋体" w:cs="宋体" w:hint="eastAsia"/>
                <w:b/>
                <w:bCs/>
                <w:color w:val="000000"/>
                <w:kern w:val="0"/>
                <w:szCs w:val="21"/>
              </w:rPr>
              <w:t>服务基础能力</w:t>
            </w:r>
          </w:p>
        </w:tc>
        <w:tc>
          <w:tcPr>
            <w:tcW w:w="313" w:type="pct"/>
            <w:tcBorders>
              <w:top w:val="nil"/>
              <w:left w:val="nil"/>
              <w:bottom w:val="single" w:sz="4" w:space="0" w:color="auto"/>
              <w:right w:val="single" w:sz="4" w:space="0" w:color="auto"/>
            </w:tcBorders>
            <w:shd w:val="clear" w:color="000000" w:fill="FFFFFF"/>
            <w:vAlign w:val="center"/>
          </w:tcPr>
          <w:p w:rsidR="00FE0EA8" w:rsidRPr="00F30F17" w:rsidRDefault="00FE0EA8" w:rsidP="00164439">
            <w:pPr>
              <w:widowControl/>
              <w:jc w:val="center"/>
              <w:rPr>
                <w:rFonts w:ascii="宋体" w:hAnsi="宋体" w:cs="宋体"/>
                <w:color w:val="000000"/>
                <w:kern w:val="0"/>
                <w:szCs w:val="21"/>
              </w:rPr>
            </w:pPr>
            <w:r>
              <w:rPr>
                <w:rFonts w:ascii="宋体" w:hAnsi="宋体" w:cs="宋体" w:hint="eastAsia"/>
                <w:color w:val="000000"/>
                <w:kern w:val="0"/>
                <w:szCs w:val="21"/>
              </w:rPr>
              <w:t>6.2</w:t>
            </w:r>
          </w:p>
        </w:tc>
        <w:tc>
          <w:tcPr>
            <w:tcW w:w="156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b/>
                <w:bCs/>
                <w:color w:val="000000"/>
                <w:kern w:val="0"/>
                <w:szCs w:val="21"/>
              </w:rPr>
            </w:pPr>
            <w:r w:rsidRPr="00F30F17">
              <w:rPr>
                <w:rFonts w:ascii="宋体" w:hAnsi="宋体" w:cs="宋体" w:hint="eastAsia"/>
                <w:b/>
                <w:bCs/>
                <w:color w:val="000000"/>
                <w:kern w:val="0"/>
                <w:szCs w:val="21"/>
              </w:rPr>
              <w:t>5年内无因违法违规经营药品被行政处罚的行为，无违反</w:t>
            </w:r>
            <w:r w:rsidRPr="00F30F17">
              <w:rPr>
                <w:b/>
                <w:bCs/>
                <w:color w:val="000000"/>
                <w:kern w:val="0"/>
                <w:szCs w:val="21"/>
              </w:rPr>
              <w:t>GSP</w:t>
            </w:r>
            <w:r w:rsidRPr="00F30F17">
              <w:rPr>
                <w:rFonts w:ascii="宋体" w:hAnsi="宋体" w:cs="宋体" w:hint="eastAsia"/>
                <w:b/>
                <w:bCs/>
                <w:color w:val="000000"/>
                <w:kern w:val="0"/>
                <w:szCs w:val="21"/>
              </w:rPr>
              <w:t>管理规定被撤销</w:t>
            </w:r>
            <w:r w:rsidRPr="00F30F17">
              <w:rPr>
                <w:b/>
                <w:bCs/>
                <w:color w:val="000000"/>
                <w:kern w:val="0"/>
                <w:szCs w:val="21"/>
              </w:rPr>
              <w:t>GSP</w:t>
            </w:r>
            <w:r w:rsidRPr="00F30F17">
              <w:rPr>
                <w:rFonts w:ascii="宋体" w:hAnsi="宋体" w:cs="宋体" w:hint="eastAsia"/>
                <w:b/>
                <w:bCs/>
                <w:color w:val="000000"/>
                <w:kern w:val="0"/>
                <w:szCs w:val="21"/>
              </w:rPr>
              <w:t>证书的情况</w:t>
            </w:r>
          </w:p>
        </w:tc>
        <w:tc>
          <w:tcPr>
            <w:tcW w:w="50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审核食品药品监管部门最近一次检查记录文件/查询食品药品监管</w:t>
            </w:r>
            <w:proofErr w:type="gramStart"/>
            <w:r w:rsidRPr="00F30F17">
              <w:rPr>
                <w:rFonts w:ascii="宋体" w:hAnsi="宋体" w:cs="宋体" w:hint="eastAsia"/>
                <w:color w:val="000000"/>
                <w:kern w:val="0"/>
                <w:szCs w:val="21"/>
              </w:rPr>
              <w:t>部门官网</w:t>
            </w:r>
            <w:proofErr w:type="gramEnd"/>
          </w:p>
        </w:tc>
        <w:tc>
          <w:tcPr>
            <w:tcW w:w="1402"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rPr>
                <w:rFonts w:ascii="宋体" w:hAnsi="宋体" w:cs="宋体"/>
                <w:color w:val="000000"/>
                <w:kern w:val="0"/>
                <w:szCs w:val="21"/>
              </w:rPr>
            </w:pPr>
            <w:r w:rsidRPr="00F30F17">
              <w:rPr>
                <w:rFonts w:ascii="宋体" w:hAnsi="宋体" w:cs="宋体" w:hint="eastAsia"/>
                <w:color w:val="000000"/>
                <w:kern w:val="0"/>
                <w:szCs w:val="21"/>
              </w:rPr>
              <w:t>以食品药品监管部门通报或质量公告为准</w:t>
            </w:r>
          </w:p>
        </w:tc>
        <w:tc>
          <w:tcPr>
            <w:tcW w:w="151" w:type="pct"/>
            <w:tcBorders>
              <w:top w:val="nil"/>
              <w:left w:val="nil"/>
              <w:bottom w:val="single" w:sz="4" w:space="0" w:color="auto"/>
              <w:right w:val="single" w:sz="4"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78"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79" w:type="pct"/>
            <w:tcBorders>
              <w:top w:val="nil"/>
              <w:left w:val="nil"/>
              <w:bottom w:val="single" w:sz="4" w:space="0" w:color="auto"/>
              <w:right w:val="single" w:sz="4" w:space="0" w:color="auto"/>
            </w:tcBorders>
            <w:shd w:val="clear" w:color="auto" w:fill="auto"/>
            <w:vAlign w:val="center"/>
          </w:tcPr>
          <w:p w:rsidR="00FE0EA8" w:rsidRPr="00F30F17" w:rsidRDefault="00FE0EA8"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195" w:type="pct"/>
            <w:tcBorders>
              <w:top w:val="nil"/>
              <w:left w:val="nil"/>
              <w:bottom w:val="single" w:sz="4" w:space="0" w:color="auto"/>
              <w:right w:val="single" w:sz="8" w:space="0" w:color="auto"/>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FE0EA8" w:rsidRPr="00F30F17" w:rsidTr="00164439">
        <w:trPr>
          <w:trHeight w:val="270"/>
        </w:trPr>
        <w:tc>
          <w:tcPr>
            <w:tcW w:w="234"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313"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1562"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508"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1402"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151"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178" w:type="pct"/>
            <w:tcBorders>
              <w:top w:val="nil"/>
              <w:left w:val="nil"/>
              <w:bottom w:val="nil"/>
              <w:right w:val="nil"/>
            </w:tcBorders>
            <w:shd w:val="clear" w:color="auto" w:fill="auto"/>
            <w:noWrap/>
            <w:vAlign w:val="center"/>
          </w:tcPr>
          <w:p w:rsidR="00FE0EA8" w:rsidRPr="00F30F17" w:rsidRDefault="00FE0EA8" w:rsidP="00164439">
            <w:pPr>
              <w:widowControl/>
              <w:jc w:val="center"/>
              <w:rPr>
                <w:rFonts w:ascii="宋体" w:hAnsi="宋体" w:cs="宋体"/>
                <w:color w:val="000000"/>
                <w:kern w:val="0"/>
                <w:sz w:val="22"/>
                <w:szCs w:val="22"/>
              </w:rPr>
            </w:pPr>
          </w:p>
        </w:tc>
        <w:tc>
          <w:tcPr>
            <w:tcW w:w="178" w:type="pct"/>
            <w:tcBorders>
              <w:top w:val="nil"/>
              <w:left w:val="nil"/>
              <w:bottom w:val="nil"/>
              <w:right w:val="nil"/>
            </w:tcBorders>
            <w:shd w:val="clear" w:color="auto" w:fill="auto"/>
            <w:noWrap/>
            <w:vAlign w:val="center"/>
          </w:tcPr>
          <w:p w:rsidR="00FE0EA8" w:rsidRPr="00F30F17" w:rsidRDefault="00FE0EA8" w:rsidP="00164439">
            <w:pPr>
              <w:widowControl/>
              <w:jc w:val="center"/>
              <w:rPr>
                <w:rFonts w:ascii="宋体" w:hAnsi="宋体" w:cs="宋体"/>
                <w:color w:val="000000"/>
                <w:kern w:val="0"/>
                <w:sz w:val="22"/>
                <w:szCs w:val="22"/>
              </w:rPr>
            </w:pPr>
          </w:p>
        </w:tc>
        <w:tc>
          <w:tcPr>
            <w:tcW w:w="279" w:type="pct"/>
            <w:tcBorders>
              <w:top w:val="nil"/>
              <w:left w:val="nil"/>
              <w:bottom w:val="nil"/>
              <w:right w:val="nil"/>
            </w:tcBorders>
            <w:shd w:val="clear" w:color="auto" w:fill="auto"/>
            <w:noWrap/>
            <w:vAlign w:val="center"/>
          </w:tcPr>
          <w:p w:rsidR="00FE0EA8" w:rsidRPr="00F30F17" w:rsidRDefault="00FE0EA8" w:rsidP="00164439">
            <w:pPr>
              <w:widowControl/>
              <w:jc w:val="center"/>
              <w:rPr>
                <w:rFonts w:ascii="宋体" w:hAnsi="宋体" w:cs="宋体"/>
                <w:color w:val="000000"/>
                <w:kern w:val="0"/>
                <w:sz w:val="22"/>
                <w:szCs w:val="22"/>
              </w:rPr>
            </w:pPr>
          </w:p>
        </w:tc>
        <w:tc>
          <w:tcPr>
            <w:tcW w:w="195"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r>
      <w:tr w:rsidR="00FE0EA8" w:rsidRPr="00F30F17" w:rsidTr="00164439">
        <w:trPr>
          <w:trHeight w:val="270"/>
        </w:trPr>
        <w:tc>
          <w:tcPr>
            <w:tcW w:w="2617" w:type="pct"/>
            <w:gridSpan w:val="4"/>
            <w:tcBorders>
              <w:top w:val="nil"/>
              <w:left w:val="nil"/>
              <w:bottom w:val="nil"/>
              <w:right w:val="nil"/>
            </w:tcBorders>
            <w:shd w:val="clear" w:color="auto" w:fill="auto"/>
            <w:vAlign w:val="center"/>
          </w:tcPr>
          <w:p w:rsidR="00FE0EA8" w:rsidRPr="00F30F17" w:rsidRDefault="00FE0EA8" w:rsidP="00164439">
            <w:pPr>
              <w:widowControl/>
              <w:jc w:val="left"/>
              <w:rPr>
                <w:rFonts w:ascii="宋体" w:hAnsi="宋体" w:cs="宋体"/>
                <w:b/>
                <w:bCs/>
                <w:color w:val="000000"/>
                <w:kern w:val="0"/>
                <w:sz w:val="22"/>
                <w:szCs w:val="22"/>
              </w:rPr>
            </w:pPr>
          </w:p>
        </w:tc>
        <w:tc>
          <w:tcPr>
            <w:tcW w:w="1402"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151"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c>
          <w:tcPr>
            <w:tcW w:w="178" w:type="pct"/>
            <w:tcBorders>
              <w:top w:val="nil"/>
              <w:left w:val="nil"/>
              <w:bottom w:val="nil"/>
              <w:right w:val="nil"/>
            </w:tcBorders>
            <w:shd w:val="clear" w:color="auto" w:fill="auto"/>
            <w:noWrap/>
            <w:vAlign w:val="center"/>
          </w:tcPr>
          <w:p w:rsidR="00FE0EA8" w:rsidRPr="00F30F17" w:rsidRDefault="00FE0EA8" w:rsidP="00164439">
            <w:pPr>
              <w:widowControl/>
              <w:jc w:val="center"/>
              <w:rPr>
                <w:rFonts w:ascii="宋体" w:hAnsi="宋体" w:cs="宋体"/>
                <w:color w:val="000000"/>
                <w:kern w:val="0"/>
                <w:sz w:val="22"/>
                <w:szCs w:val="22"/>
              </w:rPr>
            </w:pPr>
          </w:p>
        </w:tc>
        <w:tc>
          <w:tcPr>
            <w:tcW w:w="178" w:type="pct"/>
            <w:tcBorders>
              <w:top w:val="nil"/>
              <w:left w:val="nil"/>
              <w:bottom w:val="nil"/>
              <w:right w:val="nil"/>
            </w:tcBorders>
            <w:shd w:val="clear" w:color="auto" w:fill="auto"/>
            <w:noWrap/>
            <w:vAlign w:val="center"/>
          </w:tcPr>
          <w:p w:rsidR="00FE0EA8" w:rsidRPr="00F30F17" w:rsidRDefault="00FE0EA8" w:rsidP="00164439">
            <w:pPr>
              <w:widowControl/>
              <w:jc w:val="center"/>
              <w:rPr>
                <w:rFonts w:ascii="宋体" w:hAnsi="宋体" w:cs="宋体"/>
                <w:color w:val="000000"/>
                <w:kern w:val="0"/>
                <w:sz w:val="22"/>
                <w:szCs w:val="22"/>
              </w:rPr>
            </w:pPr>
          </w:p>
        </w:tc>
        <w:tc>
          <w:tcPr>
            <w:tcW w:w="279" w:type="pct"/>
            <w:tcBorders>
              <w:top w:val="nil"/>
              <w:left w:val="nil"/>
              <w:bottom w:val="nil"/>
              <w:right w:val="nil"/>
            </w:tcBorders>
            <w:shd w:val="clear" w:color="auto" w:fill="auto"/>
            <w:noWrap/>
            <w:vAlign w:val="center"/>
          </w:tcPr>
          <w:p w:rsidR="00FE0EA8" w:rsidRPr="00F30F17" w:rsidRDefault="00FE0EA8" w:rsidP="00164439">
            <w:pPr>
              <w:widowControl/>
              <w:jc w:val="center"/>
              <w:rPr>
                <w:rFonts w:ascii="宋体" w:hAnsi="宋体" w:cs="宋体"/>
                <w:color w:val="000000"/>
                <w:kern w:val="0"/>
                <w:sz w:val="22"/>
                <w:szCs w:val="22"/>
              </w:rPr>
            </w:pPr>
          </w:p>
        </w:tc>
        <w:tc>
          <w:tcPr>
            <w:tcW w:w="195" w:type="pct"/>
            <w:tcBorders>
              <w:top w:val="nil"/>
              <w:left w:val="nil"/>
              <w:bottom w:val="nil"/>
              <w:right w:val="nil"/>
            </w:tcBorders>
            <w:shd w:val="clear" w:color="auto" w:fill="auto"/>
            <w:noWrap/>
            <w:vAlign w:val="center"/>
          </w:tcPr>
          <w:p w:rsidR="00FE0EA8" w:rsidRPr="00F30F17" w:rsidRDefault="00FE0EA8" w:rsidP="00164439">
            <w:pPr>
              <w:widowControl/>
              <w:jc w:val="left"/>
              <w:rPr>
                <w:rFonts w:ascii="宋体" w:hAnsi="宋体" w:cs="宋体"/>
                <w:color w:val="000000"/>
                <w:kern w:val="0"/>
                <w:sz w:val="22"/>
                <w:szCs w:val="22"/>
              </w:rPr>
            </w:pPr>
          </w:p>
        </w:tc>
      </w:tr>
    </w:tbl>
    <w:p w:rsidR="00FE0EA8" w:rsidRDefault="00FE0EA8" w:rsidP="00FE0EA8">
      <w:pPr>
        <w:rPr>
          <w:rFonts w:ascii="宋体" w:hAnsi="宋体" w:cs="宋体"/>
          <w:b/>
          <w:bCs/>
          <w:color w:val="000000"/>
          <w:kern w:val="0"/>
          <w:sz w:val="22"/>
          <w:szCs w:val="22"/>
        </w:rPr>
      </w:pPr>
      <w:r>
        <w:rPr>
          <w:rFonts w:ascii="宋体" w:hAnsi="宋体" w:cs="宋体" w:hint="eastAsia"/>
          <w:b/>
          <w:bCs/>
          <w:color w:val="000000"/>
          <w:kern w:val="0"/>
          <w:sz w:val="22"/>
          <w:szCs w:val="22"/>
        </w:rPr>
        <w:t>注：</w:t>
      </w:r>
    </w:p>
    <w:p w:rsidR="00FE0EA8" w:rsidRDefault="00FE0EA8" w:rsidP="00FE0EA8">
      <w:pPr>
        <w:rPr>
          <w:rFonts w:hint="eastAsia"/>
        </w:rPr>
      </w:pPr>
      <w:r w:rsidRPr="00DE154C">
        <w:rPr>
          <w:rFonts w:hint="eastAsia"/>
        </w:rPr>
        <w:t>1</w:t>
      </w:r>
      <w:r w:rsidRPr="00DE154C">
        <w:rPr>
          <w:rFonts w:hint="eastAsia"/>
        </w:rPr>
        <w:t>、表中“大项”系按照《药品批发企业物流服务能力评估指标》附录</w:t>
      </w:r>
      <w:r w:rsidRPr="00DE154C">
        <w:rPr>
          <w:rFonts w:hint="eastAsia"/>
        </w:rPr>
        <w:t>A</w:t>
      </w:r>
      <w:r w:rsidRPr="00DE154C">
        <w:rPr>
          <w:rFonts w:hint="eastAsia"/>
        </w:rPr>
        <w:t>《分级标准》中的大项排列；</w:t>
      </w:r>
    </w:p>
    <w:p w:rsidR="00FE0EA8" w:rsidRPr="00C47925" w:rsidRDefault="00FE0EA8" w:rsidP="00FE0EA8">
      <w:r w:rsidRPr="00C47925">
        <w:rPr>
          <w:rFonts w:hint="eastAsia"/>
        </w:rPr>
        <w:t>2</w:t>
      </w:r>
      <w:r w:rsidRPr="00C47925">
        <w:rPr>
          <w:rFonts w:hint="eastAsia"/>
        </w:rPr>
        <w:t>、为了便于评级，评定标准中的序号与《分级标准》中的序号相对应</w:t>
      </w:r>
      <w:r>
        <w:rPr>
          <w:rFonts w:hint="eastAsia"/>
        </w:rPr>
        <w:t>；</w:t>
      </w:r>
    </w:p>
    <w:p w:rsidR="00FE0EA8" w:rsidRDefault="00FE0EA8" w:rsidP="00FE0EA8">
      <w:r>
        <w:rPr>
          <w:rFonts w:hint="eastAsia"/>
        </w:rPr>
        <w:t>3</w:t>
      </w:r>
      <w:r>
        <w:rPr>
          <w:rFonts w:hint="eastAsia"/>
        </w:rPr>
        <w:t>、基础指标为企业达到评定级别的必备指标项目；</w:t>
      </w:r>
    </w:p>
    <w:p w:rsidR="00FE0EA8" w:rsidRPr="00DE154C" w:rsidRDefault="00FE0EA8" w:rsidP="00FE0EA8">
      <w:r>
        <w:rPr>
          <w:rFonts w:hint="eastAsia"/>
        </w:rPr>
        <w:t>4</w:t>
      </w:r>
      <w:r>
        <w:rPr>
          <w:rFonts w:hint="eastAsia"/>
        </w:rPr>
        <w:t>、需持证上岗的仓储作业一线操作人员</w:t>
      </w:r>
      <w:r w:rsidRPr="00DE154C">
        <w:rPr>
          <w:rFonts w:hint="eastAsia"/>
        </w:rPr>
        <w:t>包括：电梯、叉车、吊车、电工等操作人员</w:t>
      </w:r>
      <w:r>
        <w:rPr>
          <w:rFonts w:hint="eastAsia"/>
        </w:rPr>
        <w:t>；</w:t>
      </w:r>
    </w:p>
    <w:p w:rsidR="00FE0EA8" w:rsidRDefault="00FE0EA8" w:rsidP="00FE0EA8">
      <w:r>
        <w:rPr>
          <w:rFonts w:hint="eastAsia"/>
        </w:rPr>
        <w:t>5</w:t>
      </w:r>
      <w:r>
        <w:rPr>
          <w:rFonts w:hint="eastAsia"/>
        </w:rPr>
        <w:t>、需年检的物流设备包括：</w:t>
      </w:r>
      <w:r w:rsidRPr="00DE154C">
        <w:rPr>
          <w:rFonts w:hint="eastAsia"/>
        </w:rPr>
        <w:t>电梯、叉车、吊车、变压器等</w:t>
      </w:r>
      <w:r>
        <w:rPr>
          <w:rFonts w:hint="eastAsia"/>
        </w:rPr>
        <w:t>；</w:t>
      </w:r>
    </w:p>
    <w:p w:rsidR="00FE0EA8" w:rsidRDefault="00FE0EA8" w:rsidP="00FE0EA8">
      <w:r w:rsidRPr="00B4500D">
        <w:rPr>
          <w:rFonts w:hint="eastAsia"/>
        </w:rPr>
        <w:t>6</w:t>
      </w:r>
      <w:r>
        <w:rPr>
          <w:rFonts w:hint="eastAsia"/>
        </w:rPr>
        <w:t>、租用仓储面积是指企业通过契约合同等方式可进行调配、利用的仓储总面积。</w:t>
      </w:r>
    </w:p>
    <w:p w:rsidR="00FE0EA8" w:rsidRPr="009C26FA" w:rsidRDefault="00FE0EA8" w:rsidP="00FE0EA8"/>
    <w:p w:rsidR="00FE0EA8" w:rsidRDefault="00FE0EA8" w:rsidP="00FE0EA8"/>
    <w:p w:rsidR="00FE0EA8" w:rsidRDefault="00FE0EA8" w:rsidP="00FE0EA8"/>
    <w:p w:rsidR="00FE0EA8" w:rsidRDefault="00FE0EA8" w:rsidP="00FE0EA8">
      <w:pPr>
        <w:rPr>
          <w:rFonts w:hint="eastAsia"/>
        </w:rPr>
      </w:pPr>
    </w:p>
    <w:p w:rsidR="00FE0EA8" w:rsidRDefault="00FE0EA8" w:rsidP="00FE0EA8">
      <w:pPr>
        <w:rPr>
          <w:rFonts w:hint="eastAsia"/>
        </w:rPr>
      </w:pPr>
    </w:p>
    <w:p w:rsidR="00FE0EA8" w:rsidRDefault="00FE0EA8" w:rsidP="00FE0EA8">
      <w:pPr>
        <w:rPr>
          <w:rFonts w:hint="eastAsia"/>
        </w:rPr>
      </w:pPr>
    </w:p>
    <w:p w:rsidR="00FE0EA8" w:rsidRDefault="00FE0EA8" w:rsidP="00FE0EA8">
      <w:pPr>
        <w:rPr>
          <w:rFonts w:hint="eastAsia"/>
        </w:rPr>
      </w:pPr>
    </w:p>
    <w:p w:rsidR="00FE0EA8" w:rsidRDefault="00FE0EA8" w:rsidP="00FE0EA8">
      <w:pPr>
        <w:rPr>
          <w:rFonts w:hint="eastAsia"/>
        </w:rPr>
      </w:pPr>
    </w:p>
    <w:p w:rsidR="00410864" w:rsidRPr="00FE0EA8" w:rsidRDefault="00410864"/>
    <w:sectPr w:rsidR="00410864" w:rsidRPr="00FE0EA8" w:rsidSect="00FE0EA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0EA8"/>
    <w:rsid w:val="00410864"/>
    <w:rsid w:val="00FE0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2016-01-27T07:04:00Z</dcterms:created>
  <dcterms:modified xsi:type="dcterms:W3CDTF">2016-01-27T07:05:00Z</dcterms:modified>
</cp:coreProperties>
</file>